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1C683">
      <w:pPr>
        <w:pStyle w:val="3"/>
        <w:pageBreakBefore w:val="0"/>
        <w:kinsoku/>
        <w:wordWrap/>
        <w:overflowPunct/>
        <w:topLinePunct w:val="0"/>
        <w:bidi w:val="0"/>
        <w:spacing w:line="560" w:lineRule="exact"/>
        <w:ind w:right="0"/>
        <w:jc w:val="both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附件1</w:t>
      </w:r>
    </w:p>
    <w:p w14:paraId="1FBD987C">
      <w:pPr>
        <w:pStyle w:val="3"/>
        <w:pageBreakBefore w:val="0"/>
        <w:kinsoku/>
        <w:wordWrap/>
        <w:overflowPunct/>
        <w:topLinePunct w:val="0"/>
        <w:bidi w:val="0"/>
        <w:spacing w:line="560" w:lineRule="exact"/>
        <w:ind w:right="0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  <w:t>货物需求一览表</w:t>
      </w:r>
      <w:bookmarkEnd w:id="0"/>
    </w:p>
    <w:p w14:paraId="4E41E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</w:p>
    <w:p w14:paraId="374AA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说明：</w:t>
      </w:r>
    </w:p>
    <w:p w14:paraId="7B45D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（一）供应商须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其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产品侵犯其他供应商或专利权人的专利成果承担相应法律责任；同时，具有产品专利的供应商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应在其响应文件中提供与自有产品专利相关的有效证明材料，否则，不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就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产品在本项目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过程中被侵权问题提出异议。</w:t>
      </w:r>
    </w:p>
    <w:p w14:paraId="57E8B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（二）根据《财政部 发展改革委 生态环境部 市场监管总局关于调整优化节能产品、环境标志产品政府采购执行机制的通知》（财库〔2019〕9号）和《关于印发节能产品政府采购品目清单的通知》（财库〔2019〕19号）的规定，采购需求中的产品属于节能产品政府采购品目清单内标注“★”的，供应商必须在响应文件中提供所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产品的节能产品认证证书复印件（加盖供应商公章），否则响应无效。本项目如涉及，按上述规定执行。</w:t>
      </w:r>
    </w:p>
    <w:p w14:paraId="308F0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（三）服务项目中伴随的货物包含列入《网络关键设备和网络安全专用产品目录》的网络安全专用产品，应当按照《信息安全技术 网络安全专用产品安全技术要求》等相关国家标准的强制性要求，提供具备资格的机构安全认证合格或者安全检测证明材料（加盖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公章），否则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无效。本项目如涉及，按上述规定执行。</w:t>
      </w:r>
    </w:p>
    <w:p w14:paraId="28183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（四）不允许进口产品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。</w:t>
      </w:r>
    </w:p>
    <w:p w14:paraId="4290D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（五）本项目要求及技术需求中标“▲”的技术指标、主要功能项目必须满足，否则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无效。</w:t>
      </w:r>
    </w:p>
    <w:p w14:paraId="00F79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（六）本项目非标“▲”项允许偏离的技术条款发生负偏离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超过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3项（不含3项）的，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无效；商务条款发生负偏离的，响应无效。</w:t>
      </w:r>
    </w:p>
    <w:p w14:paraId="3C676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（七）技术参数不指定品牌型号，不具有排他性、倾向性。</w:t>
      </w:r>
    </w:p>
    <w:p w14:paraId="5BE2F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814"/>
        <w:gridCol w:w="1132"/>
        <w:gridCol w:w="4400"/>
        <w:gridCol w:w="1387"/>
      </w:tblGrid>
      <w:tr w14:paraId="6D672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vAlign w:val="center"/>
          </w:tcPr>
          <w:p w14:paraId="6C731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825" w:type="dxa"/>
            <w:vAlign w:val="center"/>
          </w:tcPr>
          <w:p w14:paraId="54B90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标的名称</w:t>
            </w:r>
          </w:p>
        </w:tc>
        <w:tc>
          <w:tcPr>
            <w:tcW w:w="1155" w:type="dxa"/>
            <w:vAlign w:val="center"/>
          </w:tcPr>
          <w:p w14:paraId="30BD0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数量及单位</w:t>
            </w:r>
          </w:p>
        </w:tc>
        <w:tc>
          <w:tcPr>
            <w:tcW w:w="4485" w:type="dxa"/>
            <w:vAlign w:val="center"/>
          </w:tcPr>
          <w:p w14:paraId="2CD1D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技术参数及要求</w:t>
            </w:r>
          </w:p>
        </w:tc>
        <w:tc>
          <w:tcPr>
            <w:tcW w:w="1409" w:type="dxa"/>
            <w:vAlign w:val="center"/>
          </w:tcPr>
          <w:p w14:paraId="2683D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最高限价（万元）</w:t>
            </w:r>
          </w:p>
        </w:tc>
      </w:tr>
      <w:tr w14:paraId="50E0F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800" w:type="dxa"/>
            <w:vAlign w:val="center"/>
          </w:tcPr>
          <w:p w14:paraId="6668F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825" w:type="dxa"/>
            <w:vAlign w:val="center"/>
          </w:tcPr>
          <w:p w14:paraId="02D19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人体成分分析仪</w:t>
            </w:r>
          </w:p>
        </w:tc>
        <w:tc>
          <w:tcPr>
            <w:tcW w:w="1155" w:type="dxa"/>
            <w:vAlign w:val="center"/>
          </w:tcPr>
          <w:p w14:paraId="1A496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1台</w:t>
            </w:r>
          </w:p>
        </w:tc>
        <w:tc>
          <w:tcPr>
            <w:tcW w:w="4485" w:type="dxa"/>
            <w:vAlign w:val="center"/>
          </w:tcPr>
          <w:p w14:paraId="15BD8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一、主要技术参数</w:t>
            </w:r>
          </w:p>
          <w:p w14:paraId="23514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▲1.测量方法：生物电阻抗分析法（BIA），具备多频率或直接节段测量功能。</w:t>
            </w:r>
          </w:p>
          <w:p w14:paraId="3766F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▲2.电极：4极8点接触式电极或等效。</w:t>
            </w:r>
          </w:p>
          <w:p w14:paraId="6C8E5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▲3.测量部位：至少包含右上肢、左上肢、躯干、右下肢、左下肢5个节段。</w:t>
            </w:r>
          </w:p>
          <w:p w14:paraId="0AD41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▲4.主要输出：身体总水分、蛋白质、无机盐、体脂肪、体重、骨骼肌、体脂百分比、BMI、基础代谢率、腰臀比、内脏脂肪等级等。</w:t>
            </w:r>
          </w:p>
          <w:p w14:paraId="35B6E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▲5.显示屏：≥7英寸彩色触摸屏。</w:t>
            </w:r>
          </w:p>
          <w:p w14:paraId="141C8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6.数据存储：可存储患者测量数据，支持查询/回顾。</w:t>
            </w:r>
          </w:p>
          <w:p w14:paraId="21BA7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7.打印：内置热敏打印机或支持外接打印机。</w:t>
            </w:r>
          </w:p>
          <w:p w14:paraId="4EBAF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8.接口：具备USB、LAN等接口中的至少一种。</w:t>
            </w:r>
          </w:p>
          <w:p w14:paraId="507A8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9.电源：AC220V/50Hz。</w:t>
            </w:r>
          </w:p>
          <w:p w14:paraId="6C26F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10.配置：主机1台、电源线1根、说明书1本、合格证1张等。</w:t>
            </w:r>
          </w:p>
          <w:p w14:paraId="6CC41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09" w:type="dxa"/>
            <w:vAlign w:val="center"/>
          </w:tcPr>
          <w:p w14:paraId="15153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5.50</w:t>
            </w:r>
          </w:p>
        </w:tc>
      </w:tr>
    </w:tbl>
    <w:p w14:paraId="279E3A21">
      <w:pPr>
        <w:pageBreakBefore w:val="0"/>
        <w:kinsoku/>
        <w:wordWrap/>
        <w:overflowPunct/>
        <w:topLinePunct w:val="0"/>
        <w:bidi w:val="0"/>
        <w:spacing w:line="560" w:lineRule="exact"/>
        <w:ind w:left="0" w:leftChars="0" w:right="0"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注：最高限价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5.50万元，报价超过最高限价的，响应无效。</w:t>
      </w:r>
    </w:p>
    <w:p w14:paraId="566AABDF">
      <w:pPr>
        <w:pageBreakBefore w:val="0"/>
        <w:kinsoku/>
        <w:wordWrap/>
        <w:overflowPunct/>
        <w:topLinePunct w:val="0"/>
        <w:bidi w:val="0"/>
        <w:spacing w:line="560" w:lineRule="exact"/>
        <w:ind w:right="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 w14:paraId="0F04A35F">
      <w:pPr>
        <w:pStyle w:val="3"/>
        <w:pageBreakBefore w:val="0"/>
        <w:kinsoku/>
        <w:wordWrap/>
        <w:overflowPunct/>
        <w:topLinePunct w:val="0"/>
        <w:bidi w:val="0"/>
        <w:spacing w:line="560" w:lineRule="exact"/>
        <w:ind w:right="0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  <w:t>商务条款</w:t>
      </w:r>
    </w:p>
    <w:p w14:paraId="44BC3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</w:p>
    <w:p w14:paraId="31EB1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交货期及地点</w:t>
      </w:r>
    </w:p>
    <w:p w14:paraId="7EE32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交货期：合同签订之日起15个工作日内完成供货、安装及调试。</w:t>
      </w:r>
    </w:p>
    <w:p w14:paraId="26702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交货地点：南宁市红十字会医院内分泌科（体重管理门诊）指定地点。</w:t>
      </w:r>
    </w:p>
    <w:p w14:paraId="5FACB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二、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付款方式</w:t>
      </w:r>
    </w:p>
    <w:p w14:paraId="1BEA4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1.本项目无预付款。</w:t>
      </w:r>
    </w:p>
    <w:p w14:paraId="4E58A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2.全部货物到场安装调试完毕，经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28"/>
          <w:szCs w:val="28"/>
        </w:rPr>
        <w:t>验收合格后，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开具合法有效全额发票，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28"/>
          <w:szCs w:val="28"/>
        </w:rPr>
        <w:t>在收到发票及验收报告等完整付款材料后30日内支付合同总金额的95%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质保期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一年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满且无质量问题后30日内支付剩余5%。</w:t>
      </w:r>
    </w:p>
    <w:p w14:paraId="373FF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未按约定开具并交付合法有效全额发票的，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28"/>
          <w:szCs w:val="28"/>
        </w:rPr>
        <w:t>付款义务相应顺延，且不承担违约责任。</w:t>
      </w:r>
    </w:p>
    <w:p w14:paraId="226A9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质保期及售后服务</w:t>
      </w:r>
    </w:p>
    <w:p w14:paraId="6A979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整机质保期：不少于1年，自验收合格之日起计算。</w:t>
      </w:r>
    </w:p>
    <w:p w14:paraId="3704F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质保期内因产品质量问题导致的故障，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负责免费维修或更换，所产生的一切费用由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承担。</w:t>
      </w:r>
    </w:p>
    <w:p w14:paraId="7C9A2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响应时限：接报后24小时内响应，48小时内到场维修；如无法修复，须提供备用机或采取其他保障措施。</w:t>
      </w:r>
    </w:p>
    <w:p w14:paraId="77955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质保期满后，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应继续提供维修服务，只收取成本费用。</w:t>
      </w:r>
    </w:p>
    <w:p w14:paraId="379B3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四、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培训要求</w:t>
      </w:r>
    </w:p>
    <w:p w14:paraId="7EDB7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须在设备安装调试完成后，对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28"/>
          <w:szCs w:val="28"/>
        </w:rPr>
        <w:t>操作人员提供现场操作培训，确保操作人员能独立熟练使用。</w:t>
      </w:r>
    </w:p>
    <w:p w14:paraId="361D0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培训内容包括：设备操作、日常维护、常见故障排除、软件使用等。</w:t>
      </w:r>
    </w:p>
    <w:p w14:paraId="4C98E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培训人数不少于2人，培训时间不少于半天。培训所产生的全部费用已包含在合同总价内，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28"/>
          <w:szCs w:val="28"/>
        </w:rPr>
        <w:t>不另行支付。</w:t>
      </w:r>
    </w:p>
    <w:p w14:paraId="04BD0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五、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验收标准及程序</w:t>
      </w:r>
    </w:p>
    <w:p w14:paraId="3DE8E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验收依据：合同条款、采购文件、响应文件及国家相关标准。</w:t>
      </w:r>
    </w:p>
    <w:p w14:paraId="5A49C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验收内容：设备品牌型号、数量、外观、技术参数、功能演示、随机资料等逐项核验。</w:t>
      </w:r>
    </w:p>
    <w:p w14:paraId="5E4AE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验收小组：由医学装备管理科、内分泌科、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资产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管理部门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供应商代表</w:t>
      </w:r>
      <w:r>
        <w:rPr>
          <w:rFonts w:hint="eastAsia" w:ascii="仿宋_GB2312" w:hAnsi="仿宋_GB2312" w:eastAsia="仿宋_GB2312" w:cs="仿宋_GB2312"/>
          <w:sz w:val="28"/>
          <w:szCs w:val="28"/>
        </w:rPr>
        <w:t>及监督机构等人员组成，按合同条款逐项逐条核验并形成验收报告。</w:t>
      </w:r>
    </w:p>
    <w:p w14:paraId="6CEBF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验收不合格的，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须在7个工作日内完成整改并重新申请验收。</w:t>
      </w:r>
    </w:p>
    <w:p w14:paraId="7080A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六、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违约责任</w:t>
      </w:r>
    </w:p>
    <w:p w14:paraId="599D1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逾期交货的，每逾期一日按合同总金额的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0.3</w:t>
      </w:r>
      <w:r>
        <w:rPr>
          <w:rFonts w:hint="eastAsia" w:ascii="仿宋_GB2312" w:hAnsi="仿宋_GB2312" w:eastAsia="仿宋_GB2312" w:cs="仿宋_GB2312"/>
          <w:sz w:val="28"/>
          <w:szCs w:val="28"/>
        </w:rPr>
        <w:t>‰向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28"/>
          <w:szCs w:val="28"/>
        </w:rPr>
        <w:t>支付违约金；逾期超过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</w:rPr>
        <w:t>日的，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28"/>
          <w:szCs w:val="28"/>
        </w:rPr>
        <w:t>有权解除合同。</w:t>
      </w:r>
    </w:p>
    <w:p w14:paraId="3959C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交付的产品不符合合同约定的，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28"/>
          <w:szCs w:val="28"/>
        </w:rPr>
        <w:t>有权拒收或要求更换，由此产生的费用由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承担。</w:t>
      </w:r>
    </w:p>
    <w:p w14:paraId="0D5FC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3.采购人</w:t>
      </w:r>
      <w:r>
        <w:rPr>
          <w:rFonts w:hint="eastAsia" w:ascii="仿宋_GB2312" w:hAnsi="仿宋_GB2312" w:eastAsia="仿宋_GB2312" w:cs="仿宋_GB2312"/>
          <w:sz w:val="28"/>
          <w:szCs w:val="28"/>
        </w:rPr>
        <w:t>逾期付款的，每逾期一日按应付未付金额的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0.3</w:t>
      </w:r>
      <w:r>
        <w:rPr>
          <w:rFonts w:hint="eastAsia" w:ascii="仿宋_GB2312" w:hAnsi="仿宋_GB2312" w:eastAsia="仿宋_GB2312" w:cs="仿宋_GB2312"/>
          <w:sz w:val="28"/>
          <w:szCs w:val="28"/>
        </w:rPr>
        <w:t>‰向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支付违约金。</w:t>
      </w:r>
    </w:p>
    <w:p w14:paraId="74D77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七、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其他约定</w:t>
      </w:r>
    </w:p>
    <w:p w14:paraId="20B5F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须提供全新原装产品，并提供产品合格证、说明书、保修卡等随机文件。</w:t>
      </w:r>
    </w:p>
    <w:p w14:paraId="59751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本项目不接受联合体报价，不得转包或分包。</w:t>
      </w:r>
    </w:p>
    <w:p w14:paraId="3F5EC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合同签订须经医院法律顾问审定，并按医院合同管理制度完成会签流程。</w:t>
      </w:r>
    </w:p>
    <w:p w14:paraId="00287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4.成交人须具备医疗器械经营相应资质，所供产品须具备有效的医疗器械注册证或备案凭证，报价时须提供相关证明材料复印件加盖公章。</w:t>
      </w:r>
    </w:p>
    <w:p w14:paraId="6EAFA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28"/>
          <w:szCs w:val="28"/>
        </w:rPr>
        <w:t>未尽事宜，双方协商解决；协商不成的，提交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28"/>
          <w:szCs w:val="28"/>
        </w:rPr>
        <w:t>所在地人民法院诉讼解决。</w:t>
      </w:r>
    </w:p>
    <w:p w14:paraId="210336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F3267"/>
    <w:rsid w:val="49FF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</w:pPr>
  </w:style>
  <w:style w:type="paragraph" w:styleId="3">
    <w:name w:val="Plain Text"/>
    <w:basedOn w:val="1"/>
    <w:next w:val="2"/>
    <w:unhideWhenUsed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2026-10-22T09:04:00Z</dcterms:created>
  <dc:creator>中秋</dc:creator>
  <cp:lastModifiedBy>中秋</cp:lastModifiedBy>
  <dcterms:modified xsi:type="dcterms:W3CDTF">2026-10-22T09:05:34Z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14892B8100FA4B02B2709A2A7ABD7C2B_11</vt:lpwstr>
  </property>
  <property fmtid="{D5CDD505-2E9C-101B-9397-08002B2CF9AE}" pid="4" name="KSOTemplateDocerSaveRecord">
    <vt:lpwstr>eyJoZGlkIjoiM2RhMWU4NDM1Y2E1MTQ4ZmJhZjI2ODc3ODIyODVlNGIiLCJ1c2VySWQiOiI3Mzg4MTAwNDUifQ==</vt:lpwstr>
  </property>
</Properties>
</file>