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7AC67">
      <w:pPr>
        <w:pStyle w:val="3"/>
        <w:pageBreakBefore w:val="0"/>
        <w:kinsoku/>
        <w:overflowPunct/>
        <w:topLinePunct w:val="0"/>
        <w:bidi w:val="0"/>
        <w:spacing w:line="560" w:lineRule="exact"/>
        <w:ind w:right="420"/>
        <w:jc w:val="left"/>
        <w:rPr>
          <w:rFonts w:hint="eastAsia"/>
          <w:b/>
          <w:bCs/>
          <w:color w:val="auto"/>
          <w:sz w:val="32"/>
          <w:szCs w:val="32"/>
        </w:rPr>
      </w:pPr>
      <w:bookmarkStart w:id="0" w:name="_GoBack"/>
      <w:r>
        <w:rPr>
          <w:rFonts w:hint="eastAsia" w:ascii="仿宋_GB2312" w:hAnsi="仿宋_GB2312" w:eastAsia="仿宋_GB2312" w:cs="仿宋_GB2312"/>
          <w:b/>
          <w:bCs/>
          <w:color w:val="auto"/>
          <w:sz w:val="32"/>
          <w:szCs w:val="32"/>
          <w:lang w:val="en-US" w:eastAsia="zh-CN"/>
        </w:rPr>
        <w:t>附件3</w:t>
      </w:r>
    </w:p>
    <w:p w14:paraId="716C5F1E">
      <w:pPr>
        <w:pStyle w:val="3"/>
        <w:pageBreakBefore w:val="0"/>
        <w:kinsoku/>
        <w:overflowPunct/>
        <w:topLinePunct w:val="0"/>
        <w:bidi w:val="0"/>
        <w:spacing w:line="560" w:lineRule="exact"/>
        <w:ind w:right="420"/>
        <w:jc w:val="center"/>
        <w:rPr>
          <w:b/>
          <w:bCs/>
          <w:color w:val="auto"/>
          <w:sz w:val="32"/>
          <w:szCs w:val="32"/>
        </w:rPr>
      </w:pPr>
      <w:r>
        <w:rPr>
          <w:rFonts w:hint="eastAsia"/>
          <w:b/>
          <w:bCs/>
          <w:color w:val="auto"/>
          <w:sz w:val="32"/>
          <w:szCs w:val="32"/>
        </w:rPr>
        <w:t>采购合同（</w:t>
      </w:r>
      <w:r>
        <w:rPr>
          <w:rFonts w:hint="eastAsia"/>
          <w:b/>
          <w:bCs/>
          <w:color w:val="auto"/>
          <w:sz w:val="32"/>
          <w:szCs w:val="32"/>
          <w:lang w:eastAsia="zh-CN"/>
        </w:rPr>
        <w:t>范本</w:t>
      </w:r>
      <w:r>
        <w:rPr>
          <w:rFonts w:hint="eastAsia"/>
          <w:b/>
          <w:bCs/>
          <w:color w:val="auto"/>
          <w:sz w:val="32"/>
          <w:szCs w:val="32"/>
        </w:rPr>
        <w:t>）</w:t>
      </w:r>
    </w:p>
    <w:bookmarkEnd w:id="0"/>
    <w:p w14:paraId="6589F942">
      <w:pPr>
        <w:pageBreakBefore w:val="0"/>
        <w:kinsoku/>
        <w:overflowPunct/>
        <w:topLinePunct w:val="0"/>
        <w:bidi w:val="0"/>
        <w:snapToGrid w:val="0"/>
        <w:spacing w:line="560" w:lineRule="exact"/>
        <w:ind w:right="480" w:firstLine="5985" w:firstLineChars="2850"/>
        <w:rPr>
          <w:rFonts w:ascii="宋体"/>
          <w:bCs/>
          <w:szCs w:val="21"/>
          <w:u w:val="single"/>
        </w:rPr>
      </w:pPr>
      <w:r>
        <w:rPr>
          <w:rFonts w:hint="eastAsia" w:ascii="宋体"/>
          <w:bCs/>
          <w:szCs w:val="21"/>
        </w:rPr>
        <w:t>合同编号：</w:t>
      </w:r>
    </w:p>
    <w:p w14:paraId="792C4073">
      <w:pPr>
        <w:pageBreakBefore w:val="0"/>
        <w:kinsoku/>
        <w:overflowPunct/>
        <w:topLinePunct w:val="0"/>
        <w:bidi w:val="0"/>
        <w:snapToGrid w:val="0"/>
        <w:spacing w:line="560" w:lineRule="exact"/>
        <w:rPr>
          <w:rFonts w:ascii="宋体"/>
          <w:szCs w:val="21"/>
        </w:rPr>
      </w:pPr>
    </w:p>
    <w:p w14:paraId="31B17610">
      <w:pPr>
        <w:pageBreakBefore w:val="0"/>
        <w:kinsoku/>
        <w:overflowPunct/>
        <w:topLinePunct w:val="0"/>
        <w:bidi w:val="0"/>
        <w:snapToGrid w:val="0"/>
        <w:spacing w:line="560" w:lineRule="exact"/>
        <w:rPr>
          <w:rFonts w:ascii="宋体" w:cs="宋体"/>
          <w:szCs w:val="21"/>
          <w:u w:val="single"/>
        </w:rPr>
      </w:pPr>
      <w:r>
        <w:rPr>
          <w:rFonts w:hint="eastAsia" w:ascii="宋体" w:cs="宋体"/>
          <w:szCs w:val="21"/>
        </w:rPr>
        <w:t>采购单位（甲方）</w:t>
      </w:r>
      <w:r>
        <w:rPr>
          <w:rFonts w:hint="eastAsia" w:ascii="宋体" w:cs="宋体"/>
          <w:szCs w:val="21"/>
          <w:u w:val="single"/>
          <w:lang w:val="en-US" w:eastAsia="zh-CN"/>
        </w:rPr>
        <w:t xml:space="preserve">   </w:t>
      </w:r>
      <w:r>
        <w:rPr>
          <w:rFonts w:hint="eastAsia" w:ascii="宋体" w:cs="宋体"/>
          <w:szCs w:val="21"/>
          <w:u w:val="single"/>
          <w:lang w:eastAsia="zh-CN"/>
        </w:rPr>
        <w:t>南宁市红十字会医院</w:t>
      </w:r>
      <w:r>
        <w:rPr>
          <w:rFonts w:hint="eastAsia" w:ascii="宋体" w:cs="宋体"/>
          <w:szCs w:val="21"/>
          <w:u w:val="single"/>
          <w:lang w:val="en-US" w:eastAsia="zh-CN"/>
        </w:rPr>
        <w:t xml:space="preserve">     </w:t>
      </w:r>
      <w:r>
        <w:rPr>
          <w:rFonts w:hint="eastAsia" w:ascii="宋体" w:cs="宋体"/>
          <w:szCs w:val="21"/>
        </w:rPr>
        <w:t xml:space="preserve">  </w:t>
      </w:r>
    </w:p>
    <w:p w14:paraId="000B0814">
      <w:pPr>
        <w:pageBreakBefore w:val="0"/>
        <w:kinsoku/>
        <w:overflowPunct/>
        <w:topLinePunct w:val="0"/>
        <w:bidi w:val="0"/>
        <w:snapToGrid w:val="0"/>
        <w:spacing w:line="560" w:lineRule="exact"/>
        <w:rPr>
          <w:rFonts w:ascii="宋体" w:cs="宋体"/>
          <w:szCs w:val="21"/>
          <w:u w:val="single"/>
        </w:rPr>
      </w:pPr>
      <w:r>
        <w:rPr>
          <w:rFonts w:hint="eastAsia" w:ascii="宋体" w:cs="宋体"/>
          <w:szCs w:val="21"/>
        </w:rPr>
        <w:t>供 应 商（乙方）</w:t>
      </w:r>
      <w:r>
        <w:rPr>
          <w:rFonts w:hint="eastAsia" w:ascii="宋体" w:cs="宋体"/>
          <w:szCs w:val="21"/>
          <w:u w:val="single"/>
        </w:rPr>
        <w:t xml:space="preserve">                          </w:t>
      </w:r>
      <w:r>
        <w:rPr>
          <w:rFonts w:hint="eastAsia" w:ascii="宋体" w:cs="宋体"/>
          <w:szCs w:val="21"/>
        </w:rPr>
        <w:t xml:space="preserve">  项目名称</w:t>
      </w:r>
      <w:r>
        <w:rPr>
          <w:rFonts w:hint="eastAsia" w:ascii="宋体" w:cs="宋体"/>
          <w:spacing w:val="-20"/>
          <w:szCs w:val="21"/>
        </w:rPr>
        <w:t>编</w:t>
      </w:r>
      <w:r>
        <w:rPr>
          <w:rFonts w:hint="eastAsia" w:ascii="宋体" w:cs="宋体"/>
          <w:spacing w:val="-20"/>
          <w:szCs w:val="21"/>
          <w:lang w:val="en-US" w:eastAsia="zh-CN"/>
        </w:rPr>
        <w:t xml:space="preserve"> </w:t>
      </w:r>
      <w:r>
        <w:rPr>
          <w:rFonts w:hint="eastAsia" w:ascii="宋体" w:cs="宋体"/>
          <w:spacing w:val="-20"/>
          <w:szCs w:val="21"/>
        </w:rPr>
        <w:t>号</w:t>
      </w:r>
      <w:r>
        <w:rPr>
          <w:rFonts w:hint="eastAsia" w:ascii="宋体" w:cs="宋体"/>
          <w:szCs w:val="21"/>
          <w:u w:val="single"/>
        </w:rPr>
        <w:t xml:space="preserve">                       </w:t>
      </w:r>
    </w:p>
    <w:p w14:paraId="42418696">
      <w:pPr>
        <w:pageBreakBefore w:val="0"/>
        <w:kinsoku/>
        <w:overflowPunct/>
        <w:topLinePunct w:val="0"/>
        <w:bidi w:val="0"/>
        <w:snapToGrid w:val="0"/>
        <w:spacing w:line="560" w:lineRule="exact"/>
        <w:rPr>
          <w:rFonts w:ascii="宋体" w:cs="宋体"/>
          <w:szCs w:val="21"/>
          <w:u w:val="single"/>
        </w:rPr>
      </w:pPr>
      <w:r>
        <w:rPr>
          <w:rFonts w:hint="eastAsia" w:ascii="宋体" w:cs="宋体"/>
          <w:szCs w:val="21"/>
        </w:rPr>
        <w:t xml:space="preserve">签  订  地  点  </w:t>
      </w:r>
      <w:r>
        <w:rPr>
          <w:rFonts w:hint="eastAsia" w:ascii="宋体" w:cs="宋体"/>
          <w:szCs w:val="21"/>
          <w:u w:val="single"/>
        </w:rPr>
        <w:t xml:space="preserve">                          </w:t>
      </w:r>
      <w:r>
        <w:rPr>
          <w:rFonts w:hint="eastAsia" w:ascii="宋体" w:cs="宋体"/>
          <w:szCs w:val="21"/>
        </w:rPr>
        <w:t xml:space="preserve">  签 订 时 间</w:t>
      </w:r>
      <w:r>
        <w:rPr>
          <w:rFonts w:hint="eastAsia" w:ascii="宋体" w:cs="宋体"/>
          <w:szCs w:val="21"/>
          <w:u w:val="single"/>
        </w:rPr>
        <w:t xml:space="preserve">                       </w:t>
      </w:r>
    </w:p>
    <w:p w14:paraId="66D4FF7C">
      <w:pPr>
        <w:pageBreakBefore w:val="0"/>
        <w:kinsoku/>
        <w:overflowPunct/>
        <w:topLinePunct w:val="0"/>
        <w:bidi w:val="0"/>
        <w:snapToGrid w:val="0"/>
        <w:spacing w:line="560" w:lineRule="exact"/>
        <w:ind w:firstLine="420" w:firstLineChars="200"/>
        <w:rPr>
          <w:rFonts w:ascii="宋体" w:cs="宋体"/>
          <w:szCs w:val="21"/>
        </w:rPr>
      </w:pPr>
    </w:p>
    <w:p w14:paraId="145A1B1B">
      <w:pPr>
        <w:pageBreakBefore w:val="0"/>
        <w:kinsoku/>
        <w:overflowPunct/>
        <w:topLinePunct w:val="0"/>
        <w:bidi w:val="0"/>
        <w:snapToGrid w:val="0"/>
        <w:spacing w:line="560" w:lineRule="exact"/>
        <w:ind w:firstLine="420" w:firstLineChars="200"/>
        <w:rPr>
          <w:rFonts w:ascii="宋体" w:hAnsi="宋体"/>
          <w:szCs w:val="21"/>
        </w:rPr>
      </w:pPr>
      <w:r>
        <w:rPr>
          <w:rFonts w:hint="eastAsia" w:ascii="宋体" w:hAnsi="宋体"/>
          <w:szCs w:val="21"/>
        </w:rPr>
        <w:t xml:space="preserve">  根据《中华人民共和国民法典》等法律、法规规定，按照采购文件规定条款和乙方响应文件及其承诺，甲乙双方签订本合同。</w:t>
      </w:r>
    </w:p>
    <w:p w14:paraId="5FCE933A">
      <w:pPr>
        <w:pageBreakBefore w:val="0"/>
        <w:widowControl/>
        <w:kinsoku/>
        <w:overflowPunct/>
        <w:topLinePunct w:val="0"/>
        <w:bidi w:val="0"/>
        <w:adjustRightInd w:val="0"/>
        <w:snapToGrid w:val="0"/>
        <w:spacing w:line="560" w:lineRule="exact"/>
        <w:ind w:firstLine="422" w:firstLineChars="200"/>
        <w:jc w:val="left"/>
        <w:rPr>
          <w:rFonts w:ascii="宋体" w:hAnsi="宋体"/>
          <w:b/>
          <w:bCs/>
          <w:kern w:val="0"/>
          <w:szCs w:val="21"/>
        </w:rPr>
      </w:pPr>
      <w:r>
        <w:rPr>
          <w:rFonts w:hint="eastAsia" w:ascii="宋体" w:hAnsi="宋体"/>
          <w:b/>
          <w:bCs/>
          <w:kern w:val="0"/>
        </w:rPr>
        <w:t xml:space="preserve">第一条  </w:t>
      </w:r>
      <w:r>
        <w:rPr>
          <w:rFonts w:ascii="宋体" w:hAnsi="宋体"/>
          <w:b/>
          <w:bCs/>
          <w:kern w:val="0"/>
        </w:rPr>
        <w:t>合同标</w:t>
      </w:r>
      <w:r>
        <w:rPr>
          <w:rFonts w:hint="eastAsia" w:ascii="宋体" w:hAnsi="宋体"/>
          <w:b/>
          <w:bCs/>
          <w:kern w:val="0"/>
        </w:rPr>
        <w:t>的</w:t>
      </w:r>
    </w:p>
    <w:p w14:paraId="12F30FA9">
      <w:pPr>
        <w:pageBreakBefore w:val="0"/>
        <w:kinsoku/>
        <w:overflowPunct/>
        <w:topLinePunct w:val="0"/>
        <w:bidi w:val="0"/>
        <w:snapToGrid w:val="0"/>
        <w:spacing w:line="560" w:lineRule="exact"/>
        <w:ind w:firstLine="420" w:firstLineChars="200"/>
        <w:rPr>
          <w:rFonts w:ascii="宋体" w:hAnsi="宋体" w:cs="Arial"/>
          <w:szCs w:val="21"/>
        </w:rPr>
      </w:pPr>
      <w:r>
        <w:rPr>
          <w:rFonts w:ascii="宋体" w:hAnsi="宋体" w:cs="Arial"/>
          <w:szCs w:val="21"/>
        </w:rPr>
        <w:t>1</w:t>
      </w:r>
      <w:r>
        <w:rPr>
          <w:rFonts w:hint="eastAsia" w:ascii="宋体" w:hAnsi="宋体" w:cs="Arial"/>
          <w:szCs w:val="21"/>
        </w:rPr>
        <w:t>.</w:t>
      </w:r>
      <w:r>
        <w:rPr>
          <w:rFonts w:ascii="宋体" w:hAnsi="宋体" w:cs="Arial"/>
          <w:szCs w:val="21"/>
        </w:rPr>
        <w:t>供货一览表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242"/>
        <w:gridCol w:w="1039"/>
        <w:gridCol w:w="1155"/>
        <w:gridCol w:w="1318"/>
        <w:gridCol w:w="792"/>
        <w:gridCol w:w="723"/>
        <w:gridCol w:w="1433"/>
        <w:gridCol w:w="1429"/>
      </w:tblGrid>
      <w:tr w14:paraId="4FD6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367" w:type="pct"/>
            <w:vAlign w:val="center"/>
          </w:tcPr>
          <w:p w14:paraId="11AC75FA">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序号</w:t>
            </w:r>
          </w:p>
        </w:tc>
        <w:tc>
          <w:tcPr>
            <w:tcW w:w="630" w:type="pct"/>
            <w:vAlign w:val="center"/>
          </w:tcPr>
          <w:p w14:paraId="2036B869">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标的</w:t>
            </w:r>
          </w:p>
          <w:p w14:paraId="6E4D5DA6">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名称</w:t>
            </w:r>
          </w:p>
        </w:tc>
        <w:tc>
          <w:tcPr>
            <w:tcW w:w="527" w:type="pct"/>
            <w:vAlign w:val="center"/>
          </w:tcPr>
          <w:p w14:paraId="290E8A6A">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商标</w:t>
            </w:r>
          </w:p>
          <w:p w14:paraId="2DE0C79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品牌</w:t>
            </w:r>
          </w:p>
        </w:tc>
        <w:tc>
          <w:tcPr>
            <w:tcW w:w="586" w:type="pct"/>
            <w:vAlign w:val="center"/>
          </w:tcPr>
          <w:p w14:paraId="2354F55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型号</w:t>
            </w:r>
          </w:p>
          <w:p w14:paraId="0D5416FF">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参数</w:t>
            </w:r>
          </w:p>
        </w:tc>
        <w:tc>
          <w:tcPr>
            <w:tcW w:w="669" w:type="pct"/>
            <w:vAlign w:val="center"/>
          </w:tcPr>
          <w:p w14:paraId="6E02DDB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生产</w:t>
            </w:r>
          </w:p>
          <w:p w14:paraId="7EFFE42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厂家</w:t>
            </w:r>
          </w:p>
        </w:tc>
        <w:tc>
          <w:tcPr>
            <w:tcW w:w="402" w:type="pct"/>
            <w:vAlign w:val="center"/>
          </w:tcPr>
          <w:p w14:paraId="39E1B5EB">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数量</w:t>
            </w:r>
          </w:p>
        </w:tc>
        <w:tc>
          <w:tcPr>
            <w:tcW w:w="367" w:type="pct"/>
            <w:vAlign w:val="center"/>
          </w:tcPr>
          <w:p w14:paraId="230CBFE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单位</w:t>
            </w:r>
          </w:p>
        </w:tc>
        <w:tc>
          <w:tcPr>
            <w:tcW w:w="727" w:type="pct"/>
            <w:vAlign w:val="center"/>
          </w:tcPr>
          <w:p w14:paraId="3B2BD2D8">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单价</w:t>
            </w:r>
          </w:p>
          <w:p w14:paraId="1B4489F4">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（元）</w:t>
            </w:r>
          </w:p>
        </w:tc>
        <w:tc>
          <w:tcPr>
            <w:tcW w:w="726" w:type="pct"/>
            <w:vAlign w:val="center"/>
          </w:tcPr>
          <w:p w14:paraId="2F6D152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金额</w:t>
            </w:r>
          </w:p>
          <w:p w14:paraId="06D260C1">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（元）</w:t>
            </w:r>
          </w:p>
        </w:tc>
      </w:tr>
      <w:tr w14:paraId="68D1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367" w:type="pct"/>
            <w:vAlign w:val="center"/>
          </w:tcPr>
          <w:p w14:paraId="712649D4">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630" w:type="pct"/>
            <w:vAlign w:val="center"/>
          </w:tcPr>
          <w:p w14:paraId="64EB4499">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527" w:type="pct"/>
            <w:vAlign w:val="center"/>
          </w:tcPr>
          <w:p w14:paraId="30B381B7">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586" w:type="pct"/>
            <w:vAlign w:val="center"/>
          </w:tcPr>
          <w:p w14:paraId="7184250A">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669" w:type="pct"/>
            <w:vAlign w:val="center"/>
          </w:tcPr>
          <w:p w14:paraId="758DEF7C">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402" w:type="pct"/>
            <w:vAlign w:val="center"/>
          </w:tcPr>
          <w:p w14:paraId="612955D1">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367" w:type="pct"/>
            <w:vAlign w:val="center"/>
          </w:tcPr>
          <w:p w14:paraId="09CE10D1">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727" w:type="pct"/>
            <w:vAlign w:val="center"/>
          </w:tcPr>
          <w:p w14:paraId="4167C5E4">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726" w:type="pct"/>
            <w:vAlign w:val="center"/>
          </w:tcPr>
          <w:p w14:paraId="451F9CDC">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r>
      <w:tr w14:paraId="5CE0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367" w:type="pct"/>
            <w:vAlign w:val="center"/>
          </w:tcPr>
          <w:p w14:paraId="491D04A4">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630" w:type="pct"/>
            <w:vAlign w:val="center"/>
          </w:tcPr>
          <w:p w14:paraId="7947D367">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527" w:type="pct"/>
            <w:vAlign w:val="center"/>
          </w:tcPr>
          <w:p w14:paraId="53860FBA">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586" w:type="pct"/>
            <w:vAlign w:val="center"/>
          </w:tcPr>
          <w:p w14:paraId="59162F68">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669" w:type="pct"/>
            <w:vAlign w:val="center"/>
          </w:tcPr>
          <w:p w14:paraId="432584A5">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402" w:type="pct"/>
            <w:vAlign w:val="center"/>
          </w:tcPr>
          <w:p w14:paraId="115E7BF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367" w:type="pct"/>
            <w:vAlign w:val="center"/>
          </w:tcPr>
          <w:p w14:paraId="70C5A9C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727" w:type="pct"/>
            <w:vAlign w:val="center"/>
          </w:tcPr>
          <w:p w14:paraId="6A0E762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c>
          <w:tcPr>
            <w:tcW w:w="726" w:type="pct"/>
            <w:vAlign w:val="center"/>
          </w:tcPr>
          <w:p w14:paraId="47D8A28B">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p>
        </w:tc>
      </w:tr>
      <w:tr w14:paraId="78EC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367" w:type="pct"/>
            <w:vAlign w:val="center"/>
          </w:tcPr>
          <w:p w14:paraId="2EAFA7D6">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630" w:type="pct"/>
            <w:vAlign w:val="center"/>
          </w:tcPr>
          <w:p w14:paraId="23C68294">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527" w:type="pct"/>
            <w:vAlign w:val="center"/>
          </w:tcPr>
          <w:p w14:paraId="118C2655">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586" w:type="pct"/>
            <w:vAlign w:val="center"/>
          </w:tcPr>
          <w:p w14:paraId="48A7580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669" w:type="pct"/>
            <w:vAlign w:val="center"/>
          </w:tcPr>
          <w:p w14:paraId="56E9EE5F">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402" w:type="pct"/>
            <w:vAlign w:val="center"/>
          </w:tcPr>
          <w:p w14:paraId="676A91D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367" w:type="pct"/>
            <w:vAlign w:val="center"/>
          </w:tcPr>
          <w:p w14:paraId="7E6900EC">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727" w:type="pct"/>
            <w:vAlign w:val="center"/>
          </w:tcPr>
          <w:p w14:paraId="1D55638F">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c>
          <w:tcPr>
            <w:tcW w:w="726" w:type="pct"/>
            <w:vAlign w:val="center"/>
          </w:tcPr>
          <w:p w14:paraId="6FD9284F">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center"/>
              <w:rPr>
                <w:rFonts w:hint="default" w:ascii="宋体" w:hAnsi="宋体" w:cs="Arial"/>
                <w:szCs w:val="21"/>
              </w:rPr>
            </w:pPr>
            <w:r>
              <w:rPr>
                <w:rFonts w:hint="default" w:ascii="宋体" w:hAnsi="宋体" w:cs="Arial"/>
                <w:szCs w:val="21"/>
              </w:rPr>
              <w:t>……</w:t>
            </w:r>
          </w:p>
        </w:tc>
      </w:tr>
      <w:tr w14:paraId="198F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1" w:hRule="atLeast"/>
          <w:jc w:val="center"/>
        </w:trPr>
        <w:tc>
          <w:tcPr>
            <w:tcW w:w="5000" w:type="pct"/>
            <w:gridSpan w:val="9"/>
            <w:vAlign w:val="center"/>
          </w:tcPr>
          <w:p w14:paraId="1AF3E46E">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u w:val="single"/>
              </w:rPr>
            </w:pPr>
            <w:r>
              <w:rPr>
                <w:rFonts w:hint="default" w:ascii="宋体" w:hAnsi="宋体" w:cs="Arial"/>
                <w:szCs w:val="21"/>
              </w:rPr>
              <w:t>人民币合计金额</w:t>
            </w:r>
            <w:r>
              <w:rPr>
                <w:rFonts w:hint="eastAsia" w:ascii="宋体" w:hAnsi="宋体" w:cs="Arial"/>
                <w:szCs w:val="21"/>
              </w:rPr>
              <w:t xml:space="preserve">: </w:t>
            </w:r>
            <w:r>
              <w:rPr>
                <w:rFonts w:hint="default" w:ascii="宋体" w:hAnsi="宋体" w:cs="Arial"/>
                <w:szCs w:val="21"/>
                <w:u w:val="single"/>
              </w:rPr>
              <w:t xml:space="preserve">                    </w:t>
            </w:r>
          </w:p>
        </w:tc>
      </w:tr>
    </w:tbl>
    <w:p w14:paraId="1F472891">
      <w:pPr>
        <w:pageBreakBefore w:val="0"/>
        <w:widowControl/>
        <w:kinsoku/>
        <w:overflowPunct/>
        <w:topLinePunct w:val="0"/>
        <w:bidi w:val="0"/>
        <w:adjustRightInd w:val="0"/>
        <w:snapToGrid w:val="0"/>
        <w:spacing w:line="560" w:lineRule="exact"/>
        <w:ind w:firstLine="420" w:firstLineChars="200"/>
        <w:jc w:val="left"/>
        <w:rPr>
          <w:rFonts w:ascii="宋体" w:hAnsi="宋体" w:cs="Arial"/>
          <w:szCs w:val="21"/>
        </w:rPr>
      </w:pPr>
      <w:r>
        <w:rPr>
          <w:rFonts w:hint="eastAsia" w:ascii="宋体" w:hAnsi="宋体" w:cs="Arial"/>
          <w:szCs w:val="21"/>
        </w:rPr>
        <w:t>2.</w:t>
      </w:r>
      <w:r>
        <w:rPr>
          <w:rFonts w:ascii="宋体" w:hAnsi="宋体" w:cs="Arial"/>
          <w:szCs w:val="21"/>
        </w:rPr>
        <w:t>合同合计金额</w:t>
      </w:r>
      <w:r>
        <w:rPr>
          <w:rFonts w:hint="eastAsia" w:ascii="宋体" w:hAnsi="宋体" w:cs="Arial"/>
          <w:szCs w:val="21"/>
        </w:rPr>
        <w:t>包含设备及服务需求要求所需的一切费用总和，除另有约定外，合同价不因任何因素而调整：</w:t>
      </w:r>
    </w:p>
    <w:p w14:paraId="07EC1061">
      <w:pPr>
        <w:pageBreakBefore w:val="0"/>
        <w:widowControl/>
        <w:kinsoku/>
        <w:overflowPunct/>
        <w:topLinePunct w:val="0"/>
        <w:bidi w:val="0"/>
        <w:adjustRightInd w:val="0"/>
        <w:snapToGrid w:val="0"/>
        <w:spacing w:line="560" w:lineRule="exact"/>
        <w:ind w:firstLine="420" w:firstLineChars="200"/>
        <w:jc w:val="left"/>
        <w:rPr>
          <w:rFonts w:ascii="宋体" w:hAnsi="宋体" w:cs="Arial"/>
          <w:szCs w:val="21"/>
        </w:rPr>
      </w:pPr>
      <w:r>
        <w:rPr>
          <w:rFonts w:hint="eastAsia" w:ascii="宋体" w:hAnsi="宋体" w:cs="Arial"/>
          <w:szCs w:val="21"/>
        </w:rPr>
        <w:t>（1）货物采购包括货款、标准附件、备品备件、专用工具、包装、运输、装卸、保险、税金、货到就位以及安装、调试、培训、保修等一切税金和费用。</w:t>
      </w:r>
    </w:p>
    <w:p w14:paraId="063D1A94">
      <w:pPr>
        <w:pageBreakBefore w:val="0"/>
        <w:widowControl/>
        <w:kinsoku/>
        <w:overflowPunct/>
        <w:topLinePunct w:val="0"/>
        <w:bidi w:val="0"/>
        <w:adjustRightInd w:val="0"/>
        <w:snapToGrid w:val="0"/>
        <w:spacing w:line="560" w:lineRule="exact"/>
        <w:ind w:firstLine="420" w:firstLineChars="200"/>
        <w:jc w:val="left"/>
        <w:rPr>
          <w:rFonts w:ascii="宋体" w:hAnsi="宋体" w:cs="Arial"/>
          <w:szCs w:val="21"/>
        </w:rPr>
      </w:pPr>
      <w:r>
        <w:rPr>
          <w:rFonts w:hint="eastAsia" w:ascii="宋体" w:hAnsi="宋体" w:cs="Arial"/>
          <w:szCs w:val="21"/>
        </w:rPr>
        <w:t>（2）服务采购包括整体服务价格以及安装调试、培训、维护等一切税金和费用。</w:t>
      </w:r>
    </w:p>
    <w:p w14:paraId="71316239">
      <w:pPr>
        <w:pageBreakBefore w:val="0"/>
        <w:widowControl/>
        <w:kinsoku/>
        <w:overflowPunct/>
        <w:topLinePunct w:val="0"/>
        <w:bidi w:val="0"/>
        <w:adjustRightInd w:val="0"/>
        <w:snapToGrid w:val="0"/>
        <w:spacing w:line="560" w:lineRule="exact"/>
        <w:ind w:firstLine="420" w:firstLineChars="200"/>
        <w:jc w:val="left"/>
        <w:rPr>
          <w:rFonts w:ascii="宋体" w:hAnsi="宋体"/>
          <w:b/>
          <w:bCs/>
          <w:kern w:val="0"/>
        </w:rPr>
      </w:pPr>
      <w:r>
        <w:rPr>
          <w:rFonts w:hint="eastAsia" w:ascii="宋体" w:hAnsi="宋体" w:cs="Arial"/>
          <w:szCs w:val="21"/>
        </w:rPr>
        <w:t>（3）项目验收、人员服务等费用。</w:t>
      </w:r>
    </w:p>
    <w:p w14:paraId="0E922955">
      <w:pPr>
        <w:pageBreakBefore w:val="0"/>
        <w:widowControl/>
        <w:kinsoku/>
        <w:overflowPunct/>
        <w:topLinePunct w:val="0"/>
        <w:bidi w:val="0"/>
        <w:adjustRightInd w:val="0"/>
        <w:snapToGrid w:val="0"/>
        <w:spacing w:line="560" w:lineRule="exact"/>
        <w:ind w:firstLine="422" w:firstLineChars="200"/>
        <w:jc w:val="left"/>
        <w:rPr>
          <w:rFonts w:ascii="宋体" w:hAnsi="宋体"/>
          <w:b/>
          <w:bCs/>
          <w:kern w:val="0"/>
        </w:rPr>
      </w:pPr>
      <w:r>
        <w:rPr>
          <w:rFonts w:hint="eastAsia" w:ascii="宋体" w:hAnsi="宋体"/>
          <w:b/>
          <w:bCs/>
          <w:kern w:val="0"/>
        </w:rPr>
        <w:t>第二条  产品</w:t>
      </w:r>
      <w:r>
        <w:rPr>
          <w:rFonts w:ascii="宋体" w:hAnsi="宋体"/>
          <w:b/>
          <w:bCs/>
          <w:kern w:val="0"/>
        </w:rPr>
        <w:t>质量</w:t>
      </w:r>
    </w:p>
    <w:p w14:paraId="184868D7">
      <w:pPr>
        <w:pageBreakBefore w:val="0"/>
        <w:kinsoku/>
        <w:overflowPunct/>
        <w:topLinePunct w:val="0"/>
        <w:bidi w:val="0"/>
        <w:spacing w:line="560" w:lineRule="exact"/>
        <w:ind w:firstLine="420" w:firstLineChars="200"/>
        <w:rPr>
          <w:rFonts w:ascii="宋体" w:hAnsi="宋体" w:cs="Arial"/>
          <w:szCs w:val="21"/>
        </w:rPr>
      </w:pPr>
      <w:r>
        <w:rPr>
          <w:rFonts w:hint="eastAsia" w:ascii="宋体" w:hAnsi="宋体" w:cs="Arial"/>
          <w:szCs w:val="21"/>
        </w:rPr>
        <w:t>1.乙方所提供的货物型号、技术规格、技术参数等质量必须符合采购文件并与响应文件承诺相一致。</w:t>
      </w:r>
    </w:p>
    <w:p w14:paraId="2CEAB41B">
      <w:pPr>
        <w:pageBreakBefore w:val="0"/>
        <w:kinsoku/>
        <w:overflowPunct/>
        <w:topLinePunct w:val="0"/>
        <w:bidi w:val="0"/>
        <w:spacing w:line="560" w:lineRule="exact"/>
        <w:ind w:firstLine="420" w:firstLineChars="200"/>
        <w:rPr>
          <w:rFonts w:ascii="宋体" w:hAnsi="宋体" w:cs="Arial"/>
          <w:szCs w:val="21"/>
        </w:rPr>
      </w:pPr>
      <w:r>
        <w:rPr>
          <w:rFonts w:hint="eastAsia" w:ascii="宋体" w:hAnsi="宋体" w:cs="Arial"/>
          <w:szCs w:val="21"/>
        </w:rPr>
        <w:t>2.乙方所提供的货物必须是全新、未使用的原装产品，且在正常安装、使用和保养条件下，其使用寿命期内各项指标均达到质量要求。</w:t>
      </w:r>
    </w:p>
    <w:p w14:paraId="430C4BE5">
      <w:pPr>
        <w:pageBreakBefore w:val="0"/>
        <w:kinsoku/>
        <w:overflowPunct/>
        <w:topLinePunct w:val="0"/>
        <w:bidi w:val="0"/>
        <w:snapToGrid w:val="0"/>
        <w:spacing w:line="560" w:lineRule="exact"/>
        <w:ind w:firstLine="422" w:firstLineChars="200"/>
        <w:rPr>
          <w:rFonts w:ascii="宋体" w:hAnsi="宋体" w:cs="Arial"/>
          <w:color w:val="auto"/>
          <w:szCs w:val="21"/>
        </w:rPr>
      </w:pPr>
      <w:r>
        <w:rPr>
          <w:rFonts w:ascii="宋体" w:hAnsi="宋体" w:cs="Arial"/>
          <w:b/>
          <w:color w:val="auto"/>
          <w:szCs w:val="21"/>
        </w:rPr>
        <w:t>第三条</w:t>
      </w:r>
      <w:r>
        <w:rPr>
          <w:rFonts w:hint="eastAsia" w:ascii="宋体" w:hAnsi="宋体" w:cs="Arial"/>
          <w:b/>
          <w:color w:val="auto"/>
          <w:szCs w:val="21"/>
        </w:rPr>
        <w:t xml:space="preserve">  </w:t>
      </w:r>
      <w:r>
        <w:rPr>
          <w:rFonts w:ascii="宋体" w:hAnsi="宋体" w:cs="Arial"/>
          <w:b/>
          <w:color w:val="auto"/>
          <w:szCs w:val="21"/>
        </w:rPr>
        <w:t>权利保证</w:t>
      </w:r>
    </w:p>
    <w:p w14:paraId="49C87319">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1.乙方应保证所提供货物在使用时不会侵犯任何第三方的专利权、商标权、工业设计权或其他权利。若发生第三方侵权主张，全部赔偿责任、维权费用（含律师费、诉讼费、鉴定费等）均由乙方承担，造成甲方商誉损失的另行赔偿。</w:t>
      </w:r>
    </w:p>
    <w:p w14:paraId="29F456EE">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2.乙方应按采购文件规定的时间向甲方提供使用货物的有关技术资料。</w:t>
      </w:r>
    </w:p>
    <w:p w14:paraId="1DB7C1EE">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D97764B">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4.乙方保证所交付的货物的所有权完全属于乙方且无任何抵押、质押、查封等产权瑕疵。</w:t>
      </w:r>
    </w:p>
    <w:p w14:paraId="26A1E2E1">
      <w:pPr>
        <w:pageBreakBefore w:val="0"/>
        <w:kinsoku/>
        <w:overflowPunct/>
        <w:topLinePunct w:val="0"/>
        <w:bidi w:val="0"/>
        <w:snapToGrid w:val="0"/>
        <w:spacing w:before="120" w:after="120" w:line="560" w:lineRule="exact"/>
        <w:ind w:firstLine="422" w:firstLineChars="200"/>
        <w:rPr>
          <w:rFonts w:ascii="宋体" w:hAnsi="宋体" w:cs="Arial"/>
          <w:color w:val="auto"/>
          <w:szCs w:val="21"/>
        </w:rPr>
      </w:pPr>
      <w:r>
        <w:rPr>
          <w:rFonts w:ascii="宋体" w:hAnsi="宋体" w:cs="Arial"/>
          <w:b/>
          <w:color w:val="auto"/>
          <w:szCs w:val="21"/>
        </w:rPr>
        <w:t>第四条</w:t>
      </w:r>
      <w:r>
        <w:rPr>
          <w:rFonts w:hint="eastAsia" w:ascii="宋体" w:hAnsi="宋体" w:cs="Arial"/>
          <w:b/>
          <w:color w:val="auto"/>
          <w:szCs w:val="21"/>
        </w:rPr>
        <w:t xml:space="preserve">  </w:t>
      </w:r>
      <w:r>
        <w:rPr>
          <w:rFonts w:ascii="宋体" w:hAnsi="宋体" w:cs="Arial"/>
          <w:b/>
          <w:color w:val="auto"/>
          <w:szCs w:val="21"/>
        </w:rPr>
        <w:t>货物包装及运输</w:t>
      </w:r>
    </w:p>
    <w:p w14:paraId="2B899E17">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1.乙方提供的货物均应按符合采购文件要求的包装材料、包装标准、包装方式进行包装，包装应满足运输距离、防潮、防震、防锈和防破损装卸等要求包装，以保证货物安全运达甲方指定地点。每一包装单元内应附详细的装箱单和质量合格证。</w:t>
      </w:r>
    </w:p>
    <w:p w14:paraId="5982B5B7">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2.货物的运输方式：</w:t>
      </w:r>
      <w:r>
        <w:rPr>
          <w:rFonts w:hint="eastAsia" w:ascii="宋体" w:hAnsi="宋体" w:cs="Arial"/>
          <w:color w:val="auto"/>
          <w:szCs w:val="21"/>
          <w:u w:val="single"/>
        </w:rPr>
        <w:t>乙方自定</w:t>
      </w:r>
      <w:r>
        <w:rPr>
          <w:rFonts w:hint="eastAsia" w:ascii="宋体" w:hAnsi="宋体" w:cs="Arial"/>
          <w:color w:val="auto"/>
          <w:szCs w:val="21"/>
        </w:rPr>
        <w:t>。</w:t>
      </w:r>
    </w:p>
    <w:p w14:paraId="068213C3">
      <w:pPr>
        <w:pageBreakBefore w:val="0"/>
        <w:kinsoku/>
        <w:overflowPunct/>
        <w:topLinePunct w:val="0"/>
        <w:bidi w:val="0"/>
        <w:spacing w:line="560" w:lineRule="exact"/>
        <w:ind w:firstLine="420" w:firstLineChars="200"/>
        <w:rPr>
          <w:rFonts w:ascii="宋体" w:hAnsi="宋体" w:cs="Arial"/>
          <w:color w:val="auto"/>
          <w:szCs w:val="21"/>
        </w:rPr>
      </w:pPr>
      <w:r>
        <w:rPr>
          <w:rFonts w:hint="eastAsia" w:ascii="宋体" w:hAnsi="宋体" w:cs="Arial"/>
          <w:color w:val="auto"/>
          <w:szCs w:val="21"/>
        </w:rPr>
        <w:t>3.乙方负责货物运输，货物运输合理损耗及计算方法：</w:t>
      </w:r>
      <w:r>
        <w:rPr>
          <w:rFonts w:hint="eastAsia" w:ascii="宋体" w:hAnsi="宋体" w:cs="Arial"/>
          <w:color w:val="auto"/>
          <w:szCs w:val="21"/>
          <w:u w:val="single"/>
        </w:rPr>
        <w:t>不接受损耗，所有运输损耗、短缺、破损均由乙方承担</w:t>
      </w:r>
      <w:r>
        <w:rPr>
          <w:rFonts w:hint="eastAsia" w:ascii="宋体" w:hAnsi="宋体" w:cs="Arial"/>
          <w:color w:val="auto"/>
          <w:szCs w:val="21"/>
        </w:rPr>
        <w:t>。</w:t>
      </w:r>
    </w:p>
    <w:p w14:paraId="473CD0FE">
      <w:pPr>
        <w:pageBreakBefore w:val="0"/>
        <w:kinsoku/>
        <w:overflowPunct/>
        <w:topLinePunct w:val="0"/>
        <w:bidi w:val="0"/>
        <w:snapToGrid w:val="0"/>
        <w:spacing w:before="120" w:after="120" w:line="560" w:lineRule="exact"/>
        <w:ind w:firstLine="420" w:firstLineChars="200"/>
        <w:jc w:val="left"/>
        <w:rPr>
          <w:rFonts w:ascii="宋体" w:hAnsi="宋体" w:cs="Arial"/>
          <w:color w:val="auto"/>
          <w:szCs w:val="21"/>
        </w:rPr>
      </w:pPr>
      <w:r>
        <w:rPr>
          <w:rFonts w:hint="eastAsia" w:ascii="宋体" w:hAnsi="宋体" w:cs="Arial"/>
          <w:color w:val="auto"/>
          <w:szCs w:val="21"/>
        </w:rPr>
        <w:t>4.乙方在货物发运手续办理完毕后二十四小时内或货到甲方四十八小时前通知甲方，以准备接货。</w:t>
      </w:r>
    </w:p>
    <w:p w14:paraId="032A801C">
      <w:pPr>
        <w:pageBreakBefore w:val="0"/>
        <w:kinsoku/>
        <w:overflowPunct/>
        <w:topLinePunct w:val="0"/>
        <w:bidi w:val="0"/>
        <w:spacing w:before="120" w:after="120" w:line="560" w:lineRule="exact"/>
        <w:ind w:firstLine="420"/>
        <w:jc w:val="left"/>
        <w:rPr>
          <w:rFonts w:ascii="宋体" w:hAnsi="宋体" w:cs="Arial"/>
          <w:bCs/>
          <w:color w:val="auto"/>
          <w:szCs w:val="21"/>
        </w:rPr>
      </w:pPr>
      <w:r>
        <w:rPr>
          <w:rFonts w:hint="eastAsia" w:ascii="宋体" w:hAnsi="宋体" w:cs="Arial"/>
          <w:bCs/>
          <w:color w:val="auto"/>
          <w:szCs w:val="21"/>
        </w:rPr>
        <w:t>5.货物安装调试完毕并经甲方验收合格前货物毁损、灭失的风险均由乙方承担。</w:t>
      </w:r>
    </w:p>
    <w:p w14:paraId="108171DD">
      <w:pPr>
        <w:pageBreakBefore w:val="0"/>
        <w:kinsoku/>
        <w:overflowPunct/>
        <w:topLinePunct w:val="0"/>
        <w:bidi w:val="0"/>
        <w:snapToGrid w:val="0"/>
        <w:spacing w:line="560" w:lineRule="exact"/>
        <w:ind w:firstLine="422" w:firstLineChars="200"/>
        <w:rPr>
          <w:rFonts w:ascii="宋体" w:hAnsi="宋体"/>
          <w:color w:val="auto"/>
          <w:szCs w:val="21"/>
        </w:rPr>
      </w:pPr>
      <w:r>
        <w:rPr>
          <w:rFonts w:hint="eastAsia" w:ascii="宋体" w:hAnsi="宋体"/>
          <w:b/>
          <w:color w:val="auto"/>
          <w:szCs w:val="21"/>
        </w:rPr>
        <w:t>第五条　</w:t>
      </w:r>
      <w:r>
        <w:rPr>
          <w:rFonts w:hint="eastAsia" w:ascii="宋体" w:hAnsi="宋体" w:cs="Arial"/>
          <w:b/>
          <w:bCs/>
          <w:color w:val="auto"/>
          <w:szCs w:val="21"/>
        </w:rPr>
        <w:t>产品的交付及安装</w:t>
      </w:r>
    </w:p>
    <w:p w14:paraId="50F9EDE6">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1.在本合同签订后</w:t>
      </w:r>
      <w:r>
        <w:rPr>
          <w:rFonts w:hint="eastAsia" w:ascii="宋体" w:hAnsi="宋体" w:cs="Arial"/>
          <w:bCs/>
          <w:color w:val="auto"/>
          <w:szCs w:val="21"/>
          <w:u w:val="single"/>
        </w:rPr>
        <w:t xml:space="preserve"> </w:t>
      </w:r>
      <w:r>
        <w:rPr>
          <w:rFonts w:hint="eastAsia" w:ascii="宋体" w:hAnsi="宋体" w:cs="Arial"/>
          <w:bCs/>
          <w:color w:val="auto"/>
          <w:szCs w:val="21"/>
          <w:u w:val="single"/>
          <w:lang w:val="en-US" w:eastAsia="zh-CN"/>
        </w:rPr>
        <w:t>15</w:t>
      </w:r>
      <w:r>
        <w:rPr>
          <w:rFonts w:hint="eastAsia" w:ascii="宋体" w:hAnsi="宋体" w:cs="Arial"/>
          <w:bCs/>
          <w:color w:val="auto"/>
          <w:szCs w:val="21"/>
          <w:u w:val="single"/>
        </w:rPr>
        <w:t xml:space="preserve"> 日内完成供货并安装调试合格</w:t>
      </w:r>
      <w:r>
        <w:rPr>
          <w:rFonts w:hint="eastAsia" w:ascii="宋体" w:hAnsi="宋体" w:cs="Arial"/>
          <w:bCs/>
          <w:color w:val="auto"/>
          <w:szCs w:val="21"/>
        </w:rPr>
        <w:t>。乙方应完成产品交付并安装调试至能够正常使用，交货同时向甲方提交产品的质量检测报告、产品合格证书、保修单、使用说明书等随附单证。除另有约定外，本合同不接受分批交付。</w:t>
      </w:r>
    </w:p>
    <w:p w14:paraId="1F286D65">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2.乙方应在货物托运前24小时及货物预计抵达指定交货地点的24小时前以书面方式通知甲方进行到货验收及场地准备工作，并取得甲方收到通知的回执。</w:t>
      </w:r>
    </w:p>
    <w:p w14:paraId="6CF97130">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书面通知应包括但不限于合同编号、产品名称及装箱清单、运输方式、运输服务商及联系方式、运单号、发运人、发运时间、预计到达时间。</w:t>
      </w:r>
    </w:p>
    <w:p w14:paraId="387832CD">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未按约定提前通知的，甲方有权拒绝到货验收，乙方自行承担责任和风险。</w:t>
      </w:r>
    </w:p>
    <w:p w14:paraId="7641BFC1">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3.交货地点：</w:t>
      </w:r>
      <w:r>
        <w:rPr>
          <w:rFonts w:hint="eastAsia" w:ascii="宋体" w:hAnsi="宋体" w:cs="Arial"/>
          <w:bCs/>
          <w:color w:val="auto"/>
          <w:szCs w:val="21"/>
          <w:u w:val="single"/>
        </w:rPr>
        <w:t>甲方指定地点</w:t>
      </w:r>
      <w:r>
        <w:rPr>
          <w:rFonts w:hint="eastAsia" w:ascii="宋体" w:hAnsi="宋体" w:cs="Arial"/>
          <w:bCs/>
          <w:color w:val="auto"/>
          <w:szCs w:val="21"/>
        </w:rPr>
        <w:t>。全部产品从乙方到甲方指定地点所发生包括但不限于运费、保险费、装卸费、仓储费及其他一切费用由乙方承担。货物装卸、转运需要装卸、运输工具的由乙方自行负责。</w:t>
      </w:r>
    </w:p>
    <w:p w14:paraId="536654C9">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4.甲方可根据实际需要情况调整乙方交货时间和地点，但要求提前供货的应给与乙方必要、合理准备时间。</w:t>
      </w:r>
    </w:p>
    <w:p w14:paraId="17CF7EA9">
      <w:pPr>
        <w:pageBreakBefore w:val="0"/>
        <w:kinsoku/>
        <w:overflowPunct/>
        <w:topLinePunct w:val="0"/>
        <w:bidi w:val="0"/>
        <w:snapToGrid w:val="0"/>
        <w:spacing w:line="560" w:lineRule="exact"/>
        <w:ind w:firstLine="420" w:firstLineChars="200"/>
        <w:rPr>
          <w:rFonts w:ascii="宋体" w:hAnsi="宋体"/>
          <w:color w:val="auto"/>
          <w:szCs w:val="21"/>
        </w:rPr>
      </w:pPr>
      <w:r>
        <w:rPr>
          <w:rFonts w:hint="eastAsia" w:ascii="宋体" w:hAnsi="宋体" w:cs="Arial"/>
          <w:bCs/>
          <w:color w:val="auto"/>
          <w:szCs w:val="21"/>
        </w:rPr>
        <w:t>5.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14:paraId="0E3AD27E">
      <w:pPr>
        <w:pageBreakBefore w:val="0"/>
        <w:kinsoku/>
        <w:overflowPunct/>
        <w:topLinePunct w:val="0"/>
        <w:bidi w:val="0"/>
        <w:snapToGrid w:val="0"/>
        <w:spacing w:line="560" w:lineRule="exact"/>
        <w:ind w:firstLine="422" w:firstLineChars="200"/>
        <w:rPr>
          <w:rFonts w:ascii="宋体" w:hAnsi="宋体" w:cs="Arial"/>
          <w:b/>
          <w:bCs/>
          <w:color w:val="auto"/>
          <w:szCs w:val="21"/>
        </w:rPr>
      </w:pPr>
      <w:r>
        <w:rPr>
          <w:rFonts w:hint="eastAsia" w:ascii="宋体" w:hAnsi="宋体" w:cs="Arial"/>
          <w:b/>
          <w:bCs/>
          <w:color w:val="auto"/>
          <w:szCs w:val="21"/>
        </w:rPr>
        <w:t>第六条  产品的验收</w:t>
      </w:r>
    </w:p>
    <w:p w14:paraId="01A9EEFD">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乙方应严格执行合同约定的供货周期，保质、保量的完成产品的供货。在货物到达指定地点后，甲、乙双方代表应对产品的数量、包装、规格、品牌、质量、随付单证等清点。未经到货验收的货物乙方不得安装调试，已经安装的甲方有权拒绝进行产品验收。</w:t>
      </w:r>
    </w:p>
    <w:p w14:paraId="6F4210C3">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产品到货验收完毕后，乙方对产品进行安装调试，安装调试并试运行三日后申请进行产品验收。甲、乙双方应派代表到现场按照本合同标准进行检验，并据实签署《产品验收单》作为凭证。乙方对不合格的产品验收意见提出书面异议时间为3日，逾期视为无异议。</w:t>
      </w:r>
    </w:p>
    <w:p w14:paraId="5489F32A">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甲乙双方对产品质量有争议协商不成且必须通过检测才能判断时，甲方有权委托具有相应资质的检测单位按照相关标准进行检测，质量检测合格的检测费用由甲方承担，质量检测不合格的检测费用由乙方承担，乙方应当在5日内更换符合本合同质量要求的合格产品，由此产生的费用由乙方承担，并承担相应违约责任。</w:t>
      </w:r>
    </w:p>
    <w:p w14:paraId="4B426E0B">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4.根据规定或技术性强需要相关部门检测结果作为验收依据或需要有相关部门组织、参加的，应委托相关部门先行检测或邀请相关部门组织、参加产品验收。检测、验收所需费用由乙方负责。压力容器的检验检定应在乙方送货前完成。</w:t>
      </w:r>
    </w:p>
    <w:p w14:paraId="4E848964">
      <w:pPr>
        <w:pageBreakBefore w:val="0"/>
        <w:kinsoku/>
        <w:overflowPunct/>
        <w:topLinePunct w:val="0"/>
        <w:bidi w:val="0"/>
        <w:snapToGrid w:val="0"/>
        <w:spacing w:before="120" w:after="120" w:line="560" w:lineRule="exact"/>
        <w:ind w:firstLine="420" w:firstLineChars="200"/>
        <w:jc w:val="left"/>
        <w:rPr>
          <w:rFonts w:hint="eastAsia" w:ascii="宋体" w:hAnsi="宋体" w:cs="Arial"/>
          <w:color w:val="auto"/>
          <w:szCs w:val="21"/>
        </w:rPr>
      </w:pPr>
      <w:r>
        <w:rPr>
          <w:rFonts w:hint="eastAsia" w:ascii="宋体" w:hAnsi="宋体" w:cs="Arial"/>
          <w:color w:val="auto"/>
          <w:szCs w:val="21"/>
        </w:rPr>
        <w:t>5.其他未尽事宜参照《关于印发广西壮族自治区政府采购项目履约验收管理办法的通知》[桂财采〔2015〕22号]以及《财政部关于进一步加强政府采购需求和履约验收管理的指导意见》[财库〔2016〕205号]规定执行。</w:t>
      </w:r>
    </w:p>
    <w:p w14:paraId="54CD3AD7">
      <w:pPr>
        <w:pageBreakBefore w:val="0"/>
        <w:kinsoku/>
        <w:overflowPunct/>
        <w:topLinePunct w:val="0"/>
        <w:bidi w:val="0"/>
        <w:snapToGrid w:val="0"/>
        <w:spacing w:before="120" w:after="120" w:line="560" w:lineRule="exact"/>
        <w:ind w:firstLine="420" w:firstLineChars="200"/>
        <w:jc w:val="left"/>
        <w:rPr>
          <w:rFonts w:hint="default" w:ascii="宋体" w:hAnsi="宋体" w:eastAsia="宋体" w:cs="Arial"/>
          <w:color w:val="auto"/>
          <w:szCs w:val="21"/>
          <w:lang w:val="en-US" w:eastAsia="zh-CN"/>
        </w:rPr>
      </w:pPr>
      <w:r>
        <w:rPr>
          <w:rFonts w:hint="eastAsia" w:ascii="宋体" w:hAnsi="宋体" w:cs="Arial"/>
          <w:color w:val="auto"/>
          <w:szCs w:val="21"/>
          <w:lang w:val="en-US" w:eastAsia="zh-CN"/>
        </w:rPr>
        <w:t>6.乙方提供的产品若违反本协议的约定或经过1次换货后仍不符合本协议约定的，甲方有权解除合同且不予支付货款。若货款已经支付，则乙方须退还，且乙方需要支付合同总金额的20%作为违约金。</w:t>
      </w:r>
    </w:p>
    <w:p w14:paraId="4D97A2A9">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第七条  培训</w:t>
      </w:r>
    </w:p>
    <w:p w14:paraId="4D48055C">
      <w:pPr>
        <w:pageBreakBefore w:val="0"/>
        <w:kinsoku/>
        <w:overflowPunct/>
        <w:topLinePunct w:val="0"/>
        <w:bidi w:val="0"/>
        <w:snapToGrid w:val="0"/>
        <w:spacing w:line="560" w:lineRule="exact"/>
        <w:ind w:firstLine="420" w:firstLineChars="200"/>
        <w:rPr>
          <w:rFonts w:ascii="宋体" w:hAnsi="宋体" w:cs="Arial"/>
          <w:color w:val="auto"/>
          <w:szCs w:val="21"/>
          <w:u w:val="single"/>
        </w:rPr>
      </w:pPr>
      <w:r>
        <w:rPr>
          <w:rFonts w:hint="eastAsia" w:ascii="宋体" w:hAnsi="宋体" w:cs="Arial"/>
          <w:color w:val="auto"/>
          <w:szCs w:val="21"/>
        </w:rPr>
        <w:t>乙方负责甲方有关人员的培训。培训时间、地点：</w:t>
      </w:r>
      <w:r>
        <w:rPr>
          <w:rFonts w:hint="eastAsia" w:ascii="宋体" w:hAnsi="宋体" w:cs="Arial"/>
          <w:color w:val="auto"/>
          <w:szCs w:val="21"/>
          <w:u w:val="single"/>
        </w:rPr>
        <w:t>由甲方决定，乙方无条件满足甲方要求。</w:t>
      </w:r>
    </w:p>
    <w:p w14:paraId="5F027DB3">
      <w:pPr>
        <w:pageBreakBefore w:val="0"/>
        <w:kinsoku/>
        <w:overflowPunct/>
        <w:topLinePunct w:val="0"/>
        <w:bidi w:val="0"/>
        <w:snapToGrid w:val="0"/>
        <w:spacing w:line="560" w:lineRule="exact"/>
        <w:ind w:firstLine="422" w:firstLineChars="200"/>
        <w:rPr>
          <w:rFonts w:ascii="宋体" w:hAnsi="宋体" w:cs="Arial"/>
          <w:color w:val="auto"/>
          <w:szCs w:val="21"/>
        </w:rPr>
      </w:pPr>
      <w:r>
        <w:rPr>
          <w:rFonts w:hint="eastAsia" w:ascii="宋体" w:hAnsi="宋体" w:cs="Arial"/>
          <w:b/>
          <w:color w:val="auto"/>
          <w:szCs w:val="21"/>
        </w:rPr>
        <w:t>第八条　付款</w:t>
      </w:r>
    </w:p>
    <w:p w14:paraId="6ED00C1F">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rPr>
      </w:pPr>
      <w:r>
        <w:rPr>
          <w:rFonts w:hint="eastAsia" w:ascii="宋体" w:hAnsi="宋体" w:eastAsia="宋体" w:cs="宋体"/>
        </w:rPr>
        <w:t>1.本项目无预付款。</w:t>
      </w:r>
    </w:p>
    <w:p w14:paraId="0BBE7F2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rPr>
      </w:pPr>
      <w:r>
        <w:rPr>
          <w:rFonts w:hint="eastAsia" w:ascii="宋体" w:hAnsi="宋体" w:eastAsia="宋体" w:cs="宋体"/>
        </w:rPr>
        <w:t>2.全部货物到场安装调试完毕，经甲方验收合格后，乙方开具合法有效全额发票，甲方在收到发票及验收报告等完整付款材料后30日内支付合同总金额的95%</w:t>
      </w:r>
      <w:r>
        <w:rPr>
          <w:rFonts w:hint="eastAsia" w:ascii="宋体" w:hAnsi="宋体" w:eastAsia="宋体" w:cs="宋体"/>
          <w:lang w:eastAsia="zh-CN"/>
        </w:rPr>
        <w:t>，</w:t>
      </w:r>
      <w:r>
        <w:rPr>
          <w:rFonts w:hint="eastAsia" w:ascii="宋体" w:hAnsi="宋体" w:eastAsia="宋体" w:cs="宋体"/>
        </w:rPr>
        <w:t>质保期</w:t>
      </w:r>
      <w:r>
        <w:rPr>
          <w:rFonts w:hint="eastAsia" w:ascii="宋体" w:hAnsi="宋体" w:eastAsia="宋体" w:cs="宋体"/>
          <w:lang w:eastAsia="zh-CN"/>
        </w:rPr>
        <w:t>（</w:t>
      </w:r>
      <w:r>
        <w:rPr>
          <w:rFonts w:hint="eastAsia" w:ascii="宋体" w:hAnsi="宋体" w:eastAsia="宋体" w:cs="宋体"/>
          <w:lang w:val="en-US" w:eastAsia="zh-CN"/>
        </w:rPr>
        <w:t>一年</w:t>
      </w:r>
      <w:r>
        <w:rPr>
          <w:rFonts w:hint="eastAsia" w:ascii="宋体" w:hAnsi="宋体" w:eastAsia="宋体" w:cs="宋体"/>
          <w:lang w:eastAsia="zh-CN"/>
        </w:rPr>
        <w:t>）</w:t>
      </w:r>
      <w:r>
        <w:rPr>
          <w:rFonts w:hint="eastAsia" w:ascii="宋体" w:hAnsi="宋体" w:eastAsia="宋体" w:cs="宋体"/>
        </w:rPr>
        <w:t>满且无质量问题后30日内支付剩余5%。</w:t>
      </w:r>
    </w:p>
    <w:p w14:paraId="2C12B8B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乙方未按约定开具并交付合法有效全额发票的，甲方付款义务相应顺延，且不承担违约责任。</w:t>
      </w:r>
    </w:p>
    <w:p w14:paraId="63290EC2">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第九条  履约保证金</w:t>
      </w:r>
    </w:p>
    <w:p w14:paraId="39282323">
      <w:pPr>
        <w:pageBreakBefore w:val="0"/>
        <w:kinsoku/>
        <w:overflowPunct/>
        <w:topLinePunct w:val="0"/>
        <w:bidi w:val="0"/>
        <w:snapToGrid w:val="0"/>
        <w:spacing w:line="560" w:lineRule="exact"/>
        <w:ind w:firstLine="420" w:firstLineChars="200"/>
        <w:rPr>
          <w:rFonts w:ascii="宋体" w:hAnsi="宋体"/>
          <w:color w:val="auto"/>
          <w:szCs w:val="21"/>
        </w:rPr>
      </w:pPr>
      <w:r>
        <w:rPr>
          <w:rFonts w:hint="eastAsia" w:ascii="宋体" w:hAnsi="宋体"/>
          <w:color w:val="auto"/>
          <w:szCs w:val="21"/>
        </w:rPr>
        <w:t>本项目不收取履约保证金。</w:t>
      </w:r>
    </w:p>
    <w:p w14:paraId="53D8B674">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第十条  税费</w:t>
      </w:r>
    </w:p>
    <w:p w14:paraId="3BDC5795">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本合同执行中相关的一切税费均由乙方负担。</w:t>
      </w:r>
    </w:p>
    <w:p w14:paraId="0F18C7FF">
      <w:pPr>
        <w:pageBreakBefore w:val="0"/>
        <w:kinsoku/>
        <w:overflowPunct/>
        <w:topLinePunct w:val="0"/>
        <w:bidi w:val="0"/>
        <w:snapToGrid w:val="0"/>
        <w:spacing w:line="560" w:lineRule="exact"/>
        <w:ind w:firstLine="422" w:firstLineChars="200"/>
        <w:rPr>
          <w:rFonts w:ascii="宋体" w:hAnsi="宋体" w:cs="Arial"/>
          <w:color w:val="auto"/>
          <w:szCs w:val="21"/>
          <w:u w:val="single"/>
        </w:rPr>
      </w:pPr>
      <w:r>
        <w:rPr>
          <w:rFonts w:hint="eastAsia" w:ascii="宋体" w:hAnsi="宋体" w:cs="Arial"/>
          <w:b/>
          <w:color w:val="auto"/>
          <w:szCs w:val="21"/>
        </w:rPr>
        <w:t>第十一条  质量保证及售后服务</w:t>
      </w:r>
    </w:p>
    <w:p w14:paraId="44BD4572">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1.本合同产品的质量保证期为自产品验收合格次日起至少</w:t>
      </w:r>
      <w:r>
        <w:rPr>
          <w:rFonts w:hint="eastAsia" w:ascii="宋体" w:hAnsi="宋体" w:cs="Arial"/>
          <w:color w:val="auto"/>
          <w:szCs w:val="21"/>
          <w:lang w:val="en-US" w:eastAsia="zh-CN"/>
        </w:rPr>
        <w:t xml:space="preserve"> </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 xml:space="preserve">1 </w:t>
      </w:r>
      <w:r>
        <w:rPr>
          <w:rFonts w:hint="eastAsia" w:ascii="宋体" w:hAnsi="宋体" w:cs="Arial"/>
          <w:color w:val="auto"/>
          <w:szCs w:val="21"/>
        </w:rPr>
        <w:t>年（制造商承诺保修期超过此期限的以较长时间为准）。在质量保证期内，货物出现质量问题，乙方应当在甲方通知起</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24</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 xml:space="preserve"> </w:t>
      </w:r>
      <w:r>
        <w:rPr>
          <w:rFonts w:hint="eastAsia" w:ascii="宋体" w:hAnsi="宋体" w:cs="Arial"/>
          <w:color w:val="auto"/>
          <w:szCs w:val="21"/>
        </w:rPr>
        <w:t>小时内响应，如经远程技术指导不能解决故障的，</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 xml:space="preserve"> 24 </w:t>
      </w:r>
      <w:r>
        <w:rPr>
          <w:rFonts w:hint="eastAsia" w:ascii="宋体" w:hAnsi="宋体" w:cs="Arial"/>
          <w:color w:val="auto"/>
          <w:szCs w:val="21"/>
        </w:rPr>
        <w:t>小时内免费上门进行维护、维修、更换，接到通知后</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 xml:space="preserve">48  </w:t>
      </w:r>
      <w:r>
        <w:rPr>
          <w:rFonts w:hint="eastAsia" w:ascii="宋体" w:hAnsi="宋体" w:cs="Arial"/>
          <w:color w:val="auto"/>
          <w:szCs w:val="21"/>
        </w:rPr>
        <w:t>小时完成维修工作，并提供维护报告</w:t>
      </w:r>
      <w:r>
        <w:rPr>
          <w:rFonts w:hint="eastAsia" w:ascii="宋体" w:hAnsi="宋体" w:cs="Arial"/>
          <w:color w:val="auto"/>
          <w:szCs w:val="21"/>
          <w:lang w:val="en-US" w:eastAsia="zh-CN"/>
        </w:rPr>
        <w:t>，</w:t>
      </w:r>
      <w:r>
        <w:rPr>
          <w:rFonts w:hint="eastAsia" w:ascii="宋体" w:hAnsi="宋体" w:cs="Arial"/>
          <w:color w:val="auto"/>
          <w:szCs w:val="21"/>
        </w:rPr>
        <w:t>如无法修复，须提供备用机或采取其他保障措施。维护维修更换零配件的应提供使用原厂、全新零配件并经甲方确认。</w:t>
      </w:r>
    </w:p>
    <w:p w14:paraId="2C1E0F04">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2.质量保证期内，如发生重要或核心部件两次及以上故障，或相同故障经三次维修不能解决的，</w:t>
      </w:r>
      <w:r>
        <w:rPr>
          <w:rFonts w:hint="eastAsia" w:ascii="宋体" w:hAnsi="宋体" w:cs="Arial"/>
          <w:color w:val="auto"/>
          <w:szCs w:val="21"/>
          <w:lang w:val="en-US" w:eastAsia="zh-CN"/>
        </w:rPr>
        <w:t>或15天内无法修好的，</w:t>
      </w:r>
      <w:r>
        <w:rPr>
          <w:rFonts w:hint="eastAsia" w:ascii="宋体" w:hAnsi="宋体" w:cs="Arial"/>
          <w:color w:val="auto"/>
          <w:szCs w:val="21"/>
        </w:rPr>
        <w:t>甲方有权要求乙方无条件退款退货并赔偿损失。</w:t>
      </w:r>
    </w:p>
    <w:p w14:paraId="1832D5D0">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3.质量保证期内，超过约定期限未能修复设备的，乙方应在两日内提供不低于合同设备功能标准的备用设备，保证甲方业务工作的连续性。</w:t>
      </w:r>
    </w:p>
    <w:p w14:paraId="7141395E">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4.乙方逾期未按本条约定进行维修、更换或维修、更换后设备达不到设计、标称的功能、参数的，甲方有权自行或委托第三人进行维修、更换，由此产生的费用由乙方承担。经过甲方或第三人维修、更换后的产品，乙方继续按本合同约定承担质量保修责任。乙方未及时履行保修义务导致的损失均由乙方承担。</w:t>
      </w:r>
    </w:p>
    <w:p w14:paraId="6E42BCD0">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5.产品重要或核心零部件经过维修后，自维修合格之日起，质量保证期重新开始计算。</w:t>
      </w:r>
    </w:p>
    <w:p w14:paraId="11526689">
      <w:pPr>
        <w:pageBreakBefore w:val="0"/>
        <w:kinsoku/>
        <w:overflowPunct/>
        <w:topLinePunct w:val="0"/>
        <w:bidi w:val="0"/>
        <w:snapToGrid w:val="0"/>
        <w:spacing w:line="560" w:lineRule="exact"/>
        <w:ind w:firstLine="420" w:firstLineChars="200"/>
        <w:rPr>
          <w:rFonts w:hint="eastAsia" w:ascii="宋体" w:hAnsi="宋体" w:cs="Arial"/>
          <w:color w:val="auto"/>
          <w:szCs w:val="21"/>
        </w:rPr>
      </w:pPr>
      <w:r>
        <w:rPr>
          <w:rFonts w:hint="eastAsia" w:ascii="宋体" w:hAnsi="宋体" w:cs="Arial"/>
          <w:color w:val="auto"/>
          <w:szCs w:val="21"/>
        </w:rPr>
        <w:t>6.采购文件及乙方在质量保证或售后服务承诺中对质量保修及售后服务有其他更高的要求且对甲方维护权利更有利约定的以该约定为准。</w:t>
      </w:r>
    </w:p>
    <w:p w14:paraId="433CABFA">
      <w:pPr>
        <w:pageBreakBefore w:val="0"/>
        <w:kinsoku/>
        <w:overflowPunct/>
        <w:topLinePunct w:val="0"/>
        <w:bidi w:val="0"/>
        <w:snapToGrid w:val="0"/>
        <w:spacing w:line="560" w:lineRule="exact"/>
        <w:ind w:firstLine="420" w:firstLineChars="200"/>
        <w:rPr>
          <w:rFonts w:hint="eastAsia" w:ascii="宋体" w:hAnsi="宋体" w:cs="Arial"/>
          <w:color w:val="auto"/>
          <w:szCs w:val="21"/>
          <w:lang w:val="en-US" w:eastAsia="zh-CN"/>
        </w:rPr>
      </w:pPr>
      <w:r>
        <w:rPr>
          <w:rFonts w:hint="eastAsia" w:ascii="宋体" w:hAnsi="宋体" w:cs="Arial"/>
          <w:color w:val="auto"/>
          <w:szCs w:val="21"/>
          <w:lang w:val="en-US" w:eastAsia="zh-CN"/>
        </w:rPr>
        <w:t>7.乙方在质保期内未按承诺提供售后等服务的，每发生一次向甲方支付  2000元的违约金。超过5日仍未提供售后服务的，甲方有权委托第三方维修，费用由乙方支付。迟延超过【7 】日的，甲方有权在要求乙方支付违约金的同时，书面通知乙方解除本合同，乙方应退回全部已收取的合同价款并按合同总金额的20%向甲方支付违约金。</w:t>
      </w:r>
    </w:p>
    <w:p w14:paraId="3E1F6A33">
      <w:pPr>
        <w:snapToGrid w:val="0"/>
        <w:spacing w:line="380" w:lineRule="exact"/>
        <w:ind w:firstLine="420" w:firstLineChars="200"/>
        <w:rPr>
          <w:rFonts w:hint="default" w:ascii="宋体" w:hAnsi="宋体" w:cs="Arial"/>
          <w:color w:val="auto"/>
          <w:szCs w:val="21"/>
          <w:lang w:val="en-US" w:eastAsia="zh-CN"/>
        </w:rPr>
      </w:pPr>
      <w:r>
        <w:rPr>
          <w:rFonts w:hint="default" w:ascii="宋体" w:hAnsi="宋体" w:cs="Arial"/>
          <w:color w:val="auto"/>
          <w:szCs w:val="21"/>
          <w:lang w:val="en-US" w:eastAsia="zh-CN"/>
        </w:rPr>
        <w:t>8.质保期满后，乙方应继续提供维修服务，维修只收取成本费用（不含人工费上门费）。</w:t>
      </w:r>
    </w:p>
    <w:p w14:paraId="213449B2">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第十二条　违约责任</w:t>
      </w:r>
    </w:p>
    <w:p w14:paraId="6DFC06C8">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1.若乙方未按本合同约定或甲方发货通知要求的期限交货、安装或完成本合同约定的其他工作的，每逾期一天，乙方应按本合同总价款的</w:t>
      </w:r>
      <w:r>
        <w:rPr>
          <w:rFonts w:hint="eastAsia" w:ascii="宋体" w:hAnsi="宋体" w:cs="Arial"/>
          <w:bCs/>
          <w:color w:val="auto"/>
          <w:szCs w:val="21"/>
          <w:u w:val="single"/>
        </w:rPr>
        <w:t>万分之</w:t>
      </w:r>
      <w:r>
        <w:rPr>
          <w:rFonts w:hint="eastAsia" w:ascii="宋体" w:hAnsi="宋体" w:cs="Arial"/>
          <w:bCs/>
          <w:color w:val="auto"/>
          <w:szCs w:val="21"/>
          <w:u w:val="single"/>
          <w:lang w:val="en-US" w:eastAsia="zh-CN"/>
        </w:rPr>
        <w:t>三</w:t>
      </w:r>
      <w:r>
        <w:rPr>
          <w:rFonts w:hint="eastAsia" w:ascii="宋体" w:hAnsi="宋体" w:cs="Arial"/>
          <w:bCs/>
          <w:color w:val="auto"/>
          <w:szCs w:val="21"/>
        </w:rPr>
        <w:t>向甲方支付违约金；逾期</w:t>
      </w:r>
      <w:r>
        <w:rPr>
          <w:rFonts w:hint="eastAsia" w:ascii="宋体" w:hAnsi="宋体" w:cs="Arial"/>
          <w:bCs/>
          <w:color w:val="auto"/>
          <w:szCs w:val="21"/>
          <w:u w:val="single"/>
          <w:lang w:val="en-US" w:eastAsia="zh-CN"/>
        </w:rPr>
        <w:t>7</w:t>
      </w:r>
      <w:r>
        <w:rPr>
          <w:rFonts w:hint="eastAsia" w:ascii="宋体" w:hAnsi="宋体" w:cs="Arial"/>
          <w:bCs/>
          <w:color w:val="auto"/>
          <w:szCs w:val="21"/>
        </w:rPr>
        <w:t>天，甲方有权选择单方解除本合同并</w:t>
      </w:r>
      <w:r>
        <w:rPr>
          <w:rFonts w:hint="eastAsia" w:ascii="宋体" w:hAnsi="宋体" w:cs="Arial"/>
          <w:bCs/>
          <w:color w:val="auto"/>
          <w:szCs w:val="21"/>
          <w:lang w:val="en-US" w:eastAsia="zh-CN"/>
        </w:rPr>
        <w:t>要求乙方退回全部已收取的合同价款以及</w:t>
      </w:r>
      <w:r>
        <w:rPr>
          <w:rFonts w:hint="eastAsia" w:ascii="宋体" w:hAnsi="宋体" w:cs="Arial"/>
          <w:bCs/>
          <w:color w:val="auto"/>
          <w:szCs w:val="21"/>
        </w:rPr>
        <w:t>支付合同总价款</w:t>
      </w:r>
      <w:r>
        <w:rPr>
          <w:rFonts w:hint="eastAsia" w:ascii="宋体" w:hAnsi="宋体" w:cs="Arial"/>
          <w:bCs/>
          <w:color w:val="auto"/>
          <w:szCs w:val="21"/>
          <w:u w:val="single"/>
          <w:lang w:val="en-US" w:eastAsia="zh-CN"/>
        </w:rPr>
        <w:t>20</w:t>
      </w:r>
      <w:r>
        <w:rPr>
          <w:rFonts w:hint="eastAsia" w:ascii="宋体" w:hAnsi="宋体" w:cs="Arial"/>
          <w:bCs/>
          <w:color w:val="auto"/>
          <w:szCs w:val="21"/>
          <w:u w:val="single"/>
        </w:rPr>
        <w:t>%</w:t>
      </w:r>
      <w:r>
        <w:rPr>
          <w:rFonts w:hint="eastAsia" w:ascii="宋体" w:hAnsi="宋体" w:cs="Arial"/>
          <w:bCs/>
          <w:color w:val="auto"/>
          <w:szCs w:val="21"/>
        </w:rPr>
        <w:t>的违约金。</w:t>
      </w:r>
    </w:p>
    <w:p w14:paraId="789D0DAE">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2.经过甲方验收，乙方交付的产品数量、包装、规格、品牌、质量、随附单证等与合同约定不一致的，视为交付不合格，甲方有权采取下列任何一种措施追究乙方违约责任：</w:t>
      </w:r>
    </w:p>
    <w:p w14:paraId="3C22C31F">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（1）拒绝接受不合格产品，要求乙方在</w:t>
      </w:r>
      <w:r>
        <w:rPr>
          <w:rFonts w:hint="eastAsia" w:ascii="宋体" w:hAnsi="宋体" w:cs="Arial"/>
          <w:bCs/>
          <w:color w:val="auto"/>
          <w:szCs w:val="21"/>
          <w:u w:val="single"/>
        </w:rPr>
        <w:t>5</w:t>
      </w:r>
      <w:r>
        <w:rPr>
          <w:rFonts w:hint="eastAsia" w:ascii="宋体" w:hAnsi="宋体" w:cs="Arial"/>
          <w:bCs/>
          <w:color w:val="auto"/>
          <w:szCs w:val="21"/>
        </w:rPr>
        <w:t>日内无条件更换、补足或修理、重做，由此产生的费用由乙方承担，因此延误交货期的乙方承担相应的违约责任，逾期</w:t>
      </w:r>
      <w:r>
        <w:rPr>
          <w:rFonts w:hint="eastAsia" w:ascii="宋体" w:hAnsi="宋体" w:cs="Arial"/>
          <w:bCs/>
          <w:color w:val="auto"/>
          <w:szCs w:val="21"/>
          <w:u w:val="single"/>
        </w:rPr>
        <w:t>15</w:t>
      </w:r>
      <w:r>
        <w:rPr>
          <w:rFonts w:hint="eastAsia" w:ascii="宋体" w:hAnsi="宋体" w:cs="Arial"/>
          <w:bCs/>
          <w:color w:val="auto"/>
          <w:szCs w:val="21"/>
        </w:rPr>
        <w:t>日仍未更换、补足或更换、补足后仍不符合合同约定的，甲方有权选择单方解除本合同或部分解除本合同并要求乙方支付解除合同部分价款</w:t>
      </w:r>
      <w:r>
        <w:rPr>
          <w:rFonts w:hint="eastAsia" w:ascii="宋体" w:hAnsi="宋体" w:cs="Arial"/>
          <w:bCs/>
          <w:color w:val="auto"/>
          <w:szCs w:val="21"/>
          <w:u w:val="single"/>
        </w:rPr>
        <w:t>50%</w:t>
      </w:r>
      <w:r>
        <w:rPr>
          <w:rFonts w:hint="eastAsia" w:ascii="宋体" w:hAnsi="宋体" w:cs="Arial"/>
          <w:bCs/>
          <w:color w:val="auto"/>
          <w:szCs w:val="21"/>
        </w:rPr>
        <w:t>作为违约金；</w:t>
      </w:r>
    </w:p>
    <w:p w14:paraId="1CA4604B">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（2）已经接收的产品要求乙方在</w:t>
      </w:r>
      <w:r>
        <w:rPr>
          <w:rFonts w:hint="eastAsia" w:ascii="宋体" w:hAnsi="宋体" w:cs="Arial"/>
          <w:bCs/>
          <w:color w:val="auto"/>
          <w:szCs w:val="21"/>
          <w:u w:val="single"/>
        </w:rPr>
        <w:t>5日</w:t>
      </w:r>
      <w:r>
        <w:rPr>
          <w:rFonts w:hint="eastAsia" w:ascii="宋体" w:hAnsi="宋体" w:cs="Arial"/>
          <w:bCs/>
          <w:color w:val="auto"/>
          <w:szCs w:val="21"/>
        </w:rPr>
        <w:t>内无条件退货并退还甲方已支付的全部价款并支付退货部分价款</w:t>
      </w:r>
      <w:r>
        <w:rPr>
          <w:rFonts w:hint="eastAsia" w:ascii="宋体" w:hAnsi="宋体" w:cs="Arial"/>
          <w:bCs/>
          <w:color w:val="auto"/>
          <w:szCs w:val="21"/>
          <w:u w:val="single"/>
        </w:rPr>
        <w:t>20%</w:t>
      </w:r>
      <w:r>
        <w:rPr>
          <w:rFonts w:hint="eastAsia" w:ascii="宋体" w:hAnsi="宋体" w:cs="Arial"/>
          <w:bCs/>
          <w:color w:val="auto"/>
          <w:szCs w:val="21"/>
        </w:rPr>
        <w:t>的违约金；</w:t>
      </w:r>
    </w:p>
    <w:p w14:paraId="690EE387">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（3）选择不退换货的，甲方有权根据情况以质论价减少价款并要求乙方支付本合同总金额的</w:t>
      </w:r>
      <w:r>
        <w:rPr>
          <w:rFonts w:hint="eastAsia" w:ascii="宋体" w:hAnsi="宋体" w:cs="Arial"/>
          <w:bCs/>
          <w:color w:val="auto"/>
          <w:szCs w:val="21"/>
          <w:u w:val="single"/>
        </w:rPr>
        <w:t>10%</w:t>
      </w:r>
      <w:r>
        <w:rPr>
          <w:rFonts w:hint="eastAsia" w:ascii="宋体" w:hAnsi="宋体" w:cs="Arial"/>
          <w:bCs/>
          <w:color w:val="auto"/>
          <w:szCs w:val="21"/>
        </w:rPr>
        <w:t>作为违约金。</w:t>
      </w:r>
    </w:p>
    <w:p w14:paraId="7B3B9A6A">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乙方对其交付产品的质量承担保证责任，因产品设计、生产、存储、运输、工艺、材料缺陷或安装、质保不当等原因发生质量故障的，无论产品的保修期是否经过，均由乙方承担责任，赔偿由此给甲方、第三人造成的全部损失。</w:t>
      </w:r>
    </w:p>
    <w:p w14:paraId="389FD5AF">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4.乙方应当保证有权销售本合同的所有产品，不会因此侵犯到第三人的所有权、知识产权等一切权利也未对产品设置任何负担，属于第三人拥有知识产权的已经取得第三人合法授权，甲方有权不受限制的使用。若因违反本款约定引起的第三方权利纠纷的由乙方负责解决，包括甲方使用该产品所需的授权费以及解决争议发生的一切费用（包括但不限于律师费、诉讼费、鉴定费等）均由乙方承担。如果不能取得使用许可需要另行购买产品的，所需费用由乙方承担，并赔偿甲方因此受到的损失。</w:t>
      </w:r>
    </w:p>
    <w:p w14:paraId="66D57A1B">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5.本合同签订及履行过程中，未经甲方书面同意，乙方不得将本合同的权利义务以任何方式转让给第三人，否则甲方有权选择单方解除本合同并要求乙方支付合同总金额</w:t>
      </w:r>
      <w:r>
        <w:rPr>
          <w:rFonts w:hint="eastAsia" w:ascii="宋体" w:hAnsi="宋体" w:cs="Arial"/>
          <w:bCs/>
          <w:color w:val="auto"/>
          <w:szCs w:val="21"/>
          <w:u w:val="single"/>
        </w:rPr>
        <w:t>30%</w:t>
      </w:r>
      <w:r>
        <w:rPr>
          <w:rFonts w:hint="eastAsia" w:ascii="宋体" w:hAnsi="宋体" w:cs="Arial"/>
          <w:bCs/>
          <w:color w:val="auto"/>
          <w:szCs w:val="21"/>
        </w:rPr>
        <w:t>的违约金。</w:t>
      </w:r>
    </w:p>
    <w:p w14:paraId="26BA4E5A">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6.本合同签订后，乙方要求提前解除合同的，应向甲方支付本合同总价款</w:t>
      </w:r>
      <w:r>
        <w:rPr>
          <w:rFonts w:hint="eastAsia" w:ascii="宋体" w:hAnsi="宋体" w:cs="Arial"/>
          <w:bCs/>
          <w:color w:val="auto"/>
          <w:szCs w:val="21"/>
          <w:u w:val="single"/>
        </w:rPr>
        <w:t>30%</w:t>
      </w:r>
      <w:r>
        <w:rPr>
          <w:rFonts w:hint="eastAsia" w:ascii="宋体" w:hAnsi="宋体" w:cs="Arial"/>
          <w:bCs/>
          <w:color w:val="auto"/>
          <w:szCs w:val="21"/>
        </w:rPr>
        <w:t>的违约金，退还甲方已支付的全部费用并赔偿由此给甲方造成的全部损失。</w:t>
      </w:r>
    </w:p>
    <w:p w14:paraId="545CA5CA">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7.乙方应当支付给甲方的违约金、赔偿金，甲方有权从未支付的货款中扣除，违约金不足以赔偿给甲方造成损失的，甲方仍有权向乙方进行追偿。</w:t>
      </w:r>
    </w:p>
    <w:p w14:paraId="01512116">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8.按本合同约定甲方选择解除合同的，自甲方解除合同的书面通知送达乙方之日起合同解除，乙方应赔偿由此给甲方造成的全部损失。甲方不支付乙方任何费用，乙方对解除合同有异议的异议期为</w:t>
      </w:r>
      <w:r>
        <w:rPr>
          <w:rFonts w:hint="eastAsia" w:ascii="宋体" w:hAnsi="宋体" w:cs="Arial"/>
          <w:bCs/>
          <w:color w:val="auto"/>
          <w:szCs w:val="21"/>
          <w:u w:val="single"/>
        </w:rPr>
        <w:t>7日</w:t>
      </w:r>
      <w:r>
        <w:rPr>
          <w:rFonts w:hint="eastAsia" w:ascii="宋体" w:hAnsi="宋体" w:cs="Arial"/>
          <w:bCs/>
          <w:color w:val="auto"/>
          <w:szCs w:val="21"/>
        </w:rPr>
        <w:t>。乙方应当在合同解除后</w:t>
      </w:r>
      <w:r>
        <w:rPr>
          <w:rFonts w:hint="eastAsia" w:ascii="宋体" w:hAnsi="宋体" w:cs="Arial"/>
          <w:bCs/>
          <w:color w:val="auto"/>
          <w:szCs w:val="21"/>
          <w:u w:val="single"/>
        </w:rPr>
        <w:t>5日</w:t>
      </w:r>
      <w:r>
        <w:rPr>
          <w:rFonts w:hint="eastAsia" w:ascii="宋体" w:hAnsi="宋体" w:cs="Arial"/>
          <w:bCs/>
          <w:color w:val="auto"/>
          <w:szCs w:val="21"/>
        </w:rPr>
        <w:t>内退还甲方支付的所有费用（如有），自费运回所交付的货物，付清违约金、赔偿金。</w:t>
      </w:r>
    </w:p>
    <w:p w14:paraId="206EEF48">
      <w:pPr>
        <w:pageBreakBefore w:val="0"/>
        <w:kinsoku/>
        <w:overflowPunct/>
        <w:topLinePunct w:val="0"/>
        <w:bidi w:val="0"/>
        <w:snapToGrid w:val="0"/>
        <w:spacing w:line="560" w:lineRule="exact"/>
        <w:ind w:firstLine="420" w:firstLineChars="200"/>
        <w:rPr>
          <w:rFonts w:hint="eastAsia" w:ascii="宋体" w:hAnsi="宋体" w:cs="Arial"/>
          <w:bCs/>
          <w:color w:val="auto"/>
          <w:szCs w:val="21"/>
        </w:rPr>
      </w:pPr>
      <w:r>
        <w:rPr>
          <w:rFonts w:hint="eastAsia" w:ascii="宋体" w:hAnsi="宋体" w:cs="Arial"/>
          <w:bCs/>
          <w:color w:val="auto"/>
          <w:szCs w:val="21"/>
        </w:rPr>
        <w:t>9.乙方违反本合同约定或法律规定的，应当赔偿给甲方造成的全部损失，包括但不限于直接损失、预期利益损失、甲方向第三人支付的违约金、赔偿金及甲方为索赔支出的诉讼费、律师费、公证费、保全费、担保费、鉴定费、评估费等全部费用。</w:t>
      </w:r>
    </w:p>
    <w:p w14:paraId="7B869F4A">
      <w:pPr>
        <w:pageBreakBefore w:val="0"/>
        <w:kinsoku/>
        <w:overflowPunct/>
        <w:topLinePunct w:val="0"/>
        <w:bidi w:val="0"/>
        <w:snapToGrid w:val="0"/>
        <w:spacing w:line="560" w:lineRule="exact"/>
        <w:ind w:firstLine="420" w:firstLineChars="200"/>
        <w:rPr>
          <w:rFonts w:hint="default" w:ascii="宋体" w:hAnsi="宋体" w:eastAsia="宋体" w:cs="Arial"/>
          <w:bCs/>
          <w:color w:val="auto"/>
          <w:szCs w:val="21"/>
          <w:lang w:val="en-US" w:eastAsia="zh-CN"/>
        </w:rPr>
      </w:pPr>
      <w:r>
        <w:rPr>
          <w:rFonts w:hint="eastAsia" w:ascii="宋体" w:hAnsi="宋体" w:cs="Arial"/>
          <w:bCs/>
          <w:color w:val="auto"/>
          <w:szCs w:val="21"/>
          <w:lang w:val="en-US" w:eastAsia="zh-CN"/>
        </w:rPr>
        <w:t>10.</w:t>
      </w:r>
      <w:r>
        <w:rPr>
          <w:rFonts w:hint="eastAsia" w:ascii="宋体" w:hAnsi="宋体" w:eastAsia="宋体" w:cs="Arial"/>
          <w:b w:val="0"/>
          <w:bCs/>
          <w:i w:val="0"/>
          <w:iCs w:val="0"/>
          <w:color w:val="auto"/>
          <w:kern w:val="2"/>
          <w:sz w:val="21"/>
          <w:szCs w:val="21"/>
          <w:u w:val="none"/>
          <w:lang w:val="en-US" w:eastAsia="zh-CN" w:bidi="ar"/>
        </w:rPr>
        <w:t>因产品质量问题造成甲方工作人员、患者或第三方人身财产损失的，由乙方承担全部赔偿责任。</w:t>
      </w:r>
    </w:p>
    <w:p w14:paraId="5ADE7007">
      <w:pPr>
        <w:pageBreakBefore w:val="0"/>
        <w:kinsoku/>
        <w:overflowPunct/>
        <w:topLinePunct w:val="0"/>
        <w:bidi w:val="0"/>
        <w:snapToGrid w:val="0"/>
        <w:spacing w:before="120" w:after="120" w:line="560" w:lineRule="exact"/>
        <w:ind w:firstLine="413" w:firstLineChars="196"/>
        <w:rPr>
          <w:rFonts w:ascii="宋体" w:hAnsi="宋体" w:cs="Arial"/>
          <w:b/>
          <w:color w:val="auto"/>
          <w:szCs w:val="21"/>
        </w:rPr>
      </w:pPr>
      <w:r>
        <w:rPr>
          <w:rFonts w:hint="eastAsia" w:ascii="宋体" w:hAnsi="宋体" w:cs="Arial"/>
          <w:b/>
          <w:color w:val="auto"/>
          <w:szCs w:val="21"/>
        </w:rPr>
        <w:t>第十三条  不可抗力事件处理</w:t>
      </w:r>
    </w:p>
    <w:p w14:paraId="227C9DD7">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1.在合同有效期内，任何一方因不可抗力事件导致不能履行合同，则合同履行期可延长，其延长期与不可抗力影响期相同。</w:t>
      </w:r>
    </w:p>
    <w:p w14:paraId="21C00272">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2.不可抗力事件发生后，应立即通知对方，并寄送有关权威机构出具的证明。</w:t>
      </w:r>
    </w:p>
    <w:p w14:paraId="5E2A91E0">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3.不可抗力事件延续一百二十天以上，双方应通过友好协商，确定是否继续履行合同。</w:t>
      </w:r>
    </w:p>
    <w:p w14:paraId="222B1CA3">
      <w:pPr>
        <w:pageBreakBefore w:val="0"/>
        <w:kinsoku/>
        <w:overflowPunct/>
        <w:topLinePunct w:val="0"/>
        <w:bidi w:val="0"/>
        <w:snapToGrid w:val="0"/>
        <w:spacing w:line="560" w:lineRule="exact"/>
        <w:ind w:firstLine="422" w:firstLineChars="200"/>
        <w:rPr>
          <w:rFonts w:ascii="宋体" w:hAnsi="宋体" w:cs="Arial"/>
          <w:color w:val="auto"/>
          <w:szCs w:val="21"/>
        </w:rPr>
      </w:pPr>
      <w:r>
        <w:rPr>
          <w:rFonts w:hint="eastAsia" w:ascii="宋体" w:hAnsi="宋体" w:cs="Arial"/>
          <w:b/>
          <w:color w:val="auto"/>
          <w:szCs w:val="21"/>
        </w:rPr>
        <w:t>第十四条  合同争议解决</w:t>
      </w:r>
    </w:p>
    <w:p w14:paraId="6AF66005">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因履行本合同引起的或与本合同有关的争议，甲乙双方应首先通过友好协商解决，如果协商不能解决，可向甲方所在地人民法院提起诉讼。</w:t>
      </w:r>
      <w:r>
        <w:rPr>
          <w:rFonts w:hint="eastAsia" w:ascii="宋体" w:hAnsi="宋体" w:eastAsia="宋体" w:cs="Arial"/>
          <w:i w:val="0"/>
          <w:iCs w:val="0"/>
          <w:color w:val="auto"/>
          <w:kern w:val="2"/>
          <w:sz w:val="21"/>
          <w:szCs w:val="21"/>
          <w:u w:val="none"/>
          <w:lang w:val="en-US" w:eastAsia="zh-CN" w:bidi="ar"/>
        </w:rPr>
        <w:t>因诉讼产生的诉讼费、保全费、保全保险费、律师费、鉴定费等费用由败诉方承担。</w:t>
      </w:r>
    </w:p>
    <w:p w14:paraId="08CE929C">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第十五条  合同的变更、终止与转让</w:t>
      </w:r>
    </w:p>
    <w:p w14:paraId="77DB28A2">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1.本合同一经签订，甲乙双方不得擅自变更、中止或终止。</w:t>
      </w:r>
    </w:p>
    <w:p w14:paraId="2DB2D75F">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2.未经甲方书面同意，乙方不得擅自转让（无进口资格的乙方委托进口货物除外）其应履行的合同义务。</w:t>
      </w:r>
    </w:p>
    <w:p w14:paraId="40FD2F8D">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第十六条  通知与送达</w:t>
      </w:r>
    </w:p>
    <w:p w14:paraId="4C161E78">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本协议项下对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079BD12A">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2.任何一方当事人向对/他方所发出的通知或请求送达时间：</w:t>
      </w:r>
    </w:p>
    <w:p w14:paraId="7FB3FD7D">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（1）如果是传真，则在发送当日视为送达；</w:t>
      </w:r>
    </w:p>
    <w:p w14:paraId="37109E52">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（2）如果是短信/微信/电子邮件，自电子文件内容在发送方正确填写地址且未被系统退回的情况下，进入对方数据电文接收系统当日视为送达。</w:t>
      </w:r>
    </w:p>
    <w:p w14:paraId="139677A6">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（3）如果是信函，在挂号信交邮后第三日视为送达；</w:t>
      </w:r>
    </w:p>
    <w:p w14:paraId="0E78D634">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（4）如果是派人专程送达，则在收件人签收之日视为收到；</w:t>
      </w:r>
    </w:p>
    <w:p w14:paraId="4CBE3386">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（5）如果同时使用几种通知方式的，以其中较快到达接收方者为准。</w:t>
      </w:r>
    </w:p>
    <w:p w14:paraId="37CB8315">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（6）若送达日为非工作日，则视为在下一工作日送达。</w:t>
      </w:r>
    </w:p>
    <w:p w14:paraId="15708995">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195AE183">
      <w:pPr>
        <w:pageBreakBefore w:val="0"/>
        <w:kinsoku/>
        <w:overflowPunct/>
        <w:topLinePunct w:val="0"/>
        <w:bidi w:val="0"/>
        <w:snapToGrid w:val="0"/>
        <w:spacing w:line="560" w:lineRule="exact"/>
        <w:ind w:firstLine="420" w:firstLineChars="200"/>
        <w:rPr>
          <w:rFonts w:ascii="宋体" w:hAnsi="宋体" w:cs="Arial"/>
          <w:b/>
          <w:color w:val="auto"/>
          <w:szCs w:val="21"/>
        </w:rPr>
      </w:pPr>
      <w:r>
        <w:rPr>
          <w:rFonts w:hint="eastAsia" w:ascii="宋体" w:hAnsi="宋体" w:cs="Arial"/>
          <w:bCs/>
          <w:color w:val="auto"/>
          <w:szCs w:val="21"/>
        </w:rPr>
        <w:t>4.合同送达条款与争议解决条款均为独立条款，不受合同整体或其他条款的效力的影响。</w:t>
      </w:r>
    </w:p>
    <w:p w14:paraId="4E8A23E6">
      <w:pPr>
        <w:pageBreakBefore w:val="0"/>
        <w:kinsoku/>
        <w:overflowPunct/>
        <w:topLinePunct w:val="0"/>
        <w:bidi w:val="0"/>
        <w:snapToGrid w:val="0"/>
        <w:spacing w:line="560" w:lineRule="exact"/>
        <w:ind w:firstLine="422" w:firstLineChars="200"/>
        <w:rPr>
          <w:rFonts w:ascii="宋体" w:hAnsi="宋体" w:cs="Arial"/>
          <w:b/>
          <w:color w:val="auto"/>
          <w:szCs w:val="21"/>
        </w:rPr>
      </w:pPr>
      <w:r>
        <w:rPr>
          <w:rFonts w:hint="eastAsia" w:ascii="宋体" w:hAnsi="宋体" w:cs="Arial"/>
          <w:b/>
          <w:color w:val="auto"/>
          <w:szCs w:val="21"/>
        </w:rPr>
        <w:t>第十七条  合同组成及相互关系</w:t>
      </w:r>
    </w:p>
    <w:p w14:paraId="24900912">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 xml:space="preserve">1.本合同的采购文件（含招标答疑）、符合招标要求的响应文件、中标通知书、本合同履行过程中双方签章确认的协议或其他文件均为本合同的组成部分，若合同组成文件之间发生矛盾的，以下排列顺序为合同组成文件之间的优先解释顺序： </w:t>
      </w:r>
    </w:p>
    <w:p w14:paraId="44B8BB33">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（1）本合同及其附件；</w:t>
      </w:r>
    </w:p>
    <w:p w14:paraId="7DF26E30">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（2）中标通知书；</w:t>
      </w:r>
    </w:p>
    <w:p w14:paraId="587A1F66">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（3）符合招标要求的响应文件；</w:t>
      </w:r>
    </w:p>
    <w:p w14:paraId="60135E8D">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（4）采购文件(招标答疑)；</w:t>
      </w:r>
    </w:p>
    <w:p w14:paraId="621F2089">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（5）标准、规范及有关技术文件；</w:t>
      </w:r>
    </w:p>
    <w:p w14:paraId="5F301563">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（6）其他合同文件。</w:t>
      </w:r>
    </w:p>
    <w:p w14:paraId="52B16D33">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2.本合同履行过程中双方签章确认的协议或其他文件均为本合同的组成部分。</w:t>
      </w:r>
    </w:p>
    <w:p w14:paraId="7BB72F7D">
      <w:pPr>
        <w:pageBreakBefore w:val="0"/>
        <w:kinsoku/>
        <w:overflowPunct/>
        <w:topLinePunct w:val="0"/>
        <w:bidi w:val="0"/>
        <w:snapToGrid w:val="0"/>
        <w:spacing w:line="560" w:lineRule="exact"/>
        <w:ind w:firstLine="420" w:firstLineChars="200"/>
        <w:rPr>
          <w:rFonts w:ascii="宋体" w:hAnsi="宋体" w:cs="Arial"/>
          <w:bCs/>
          <w:color w:val="auto"/>
          <w:szCs w:val="21"/>
        </w:rPr>
      </w:pPr>
      <w:r>
        <w:rPr>
          <w:rFonts w:hint="eastAsia" w:ascii="宋体" w:hAnsi="宋体" w:cs="Arial"/>
          <w:bCs/>
          <w:color w:val="auto"/>
          <w:szCs w:val="21"/>
        </w:rPr>
        <w:t>3.前述文件应认为是互为补充和解释的，如有互相矛盾之处，以前述文件所列顺序作为其优先解释的顺序，但如果某一文件对甲方权利维护更有利或对乙方有更高、更严格要求的以该文件内容为准。</w:t>
      </w:r>
    </w:p>
    <w:p w14:paraId="3DA5D92E">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bCs/>
          <w:color w:val="auto"/>
          <w:szCs w:val="21"/>
        </w:rPr>
        <w:t>4.前述各项文件包括双方就该合同组成文件所作出的补充和修改，属于同一项文件的，应以最新签署的为准。</w:t>
      </w:r>
      <w:r>
        <w:rPr>
          <w:rFonts w:hint="eastAsia" w:ascii="宋体" w:hAnsi="宋体" w:cs="Arial"/>
          <w:color w:val="auto"/>
          <w:szCs w:val="21"/>
        </w:rPr>
        <w:t>前述文件应认为是互为补充和解释的，如有互相矛盾之处，以前述文件所列顺序作为其优先解释的顺序，但如果某一文件对甲方权利维护更有利或对乙方有更高、更严格要求的以该文件内容为准。</w:t>
      </w:r>
    </w:p>
    <w:p w14:paraId="1E897C79">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5.前述各项文件包括双方就该合同组成文件所作出的补充和修改，属于同一项文件的，应以最新签署的为准。</w:t>
      </w:r>
    </w:p>
    <w:p w14:paraId="1B7901BB">
      <w:pPr>
        <w:pageBreakBefore w:val="0"/>
        <w:kinsoku/>
        <w:overflowPunct/>
        <w:topLinePunct w:val="0"/>
        <w:bidi w:val="0"/>
        <w:snapToGrid w:val="0"/>
        <w:spacing w:before="120" w:after="120" w:line="560" w:lineRule="exact"/>
        <w:ind w:firstLine="422" w:firstLineChars="200"/>
        <w:rPr>
          <w:rFonts w:ascii="宋体" w:hAnsi="宋体" w:cs="Arial"/>
          <w:b/>
          <w:color w:val="auto"/>
          <w:szCs w:val="21"/>
        </w:rPr>
      </w:pPr>
      <w:r>
        <w:rPr>
          <w:rFonts w:hint="eastAsia" w:ascii="宋体" w:hAnsi="宋体" w:cs="Arial"/>
          <w:b/>
          <w:color w:val="auto"/>
          <w:szCs w:val="21"/>
        </w:rPr>
        <w:t>第十八条　合同生效及其它</w:t>
      </w:r>
    </w:p>
    <w:p w14:paraId="0C441943">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1.合同经双方法定代表人或授权代表签字并加盖单位公章后生效。本合同一式</w:t>
      </w:r>
      <w:r>
        <w:rPr>
          <w:rFonts w:hint="eastAsia" w:ascii="宋体" w:hAnsi="宋体" w:cs="Arial"/>
          <w:color w:val="auto"/>
          <w:szCs w:val="21"/>
          <w:lang w:val="en-US" w:eastAsia="zh-CN"/>
        </w:rPr>
        <w:t>四</w:t>
      </w:r>
      <w:r>
        <w:rPr>
          <w:rFonts w:hint="eastAsia" w:ascii="宋体" w:hAnsi="宋体" w:cs="Arial"/>
          <w:color w:val="auto"/>
          <w:szCs w:val="21"/>
        </w:rPr>
        <w:t>份，具有同等法律效力。甲方三份，乙方一份。</w:t>
      </w:r>
    </w:p>
    <w:p w14:paraId="2B89C6E7">
      <w:pPr>
        <w:pageBreakBefore w:val="0"/>
        <w:kinsoku/>
        <w:overflowPunct/>
        <w:topLinePunct w:val="0"/>
        <w:bidi w:val="0"/>
        <w:snapToGrid w:val="0"/>
        <w:spacing w:line="560" w:lineRule="exact"/>
        <w:ind w:firstLine="420" w:firstLineChars="200"/>
        <w:rPr>
          <w:rFonts w:ascii="宋体" w:hAnsi="宋体" w:cs="Arial"/>
          <w:color w:val="auto"/>
          <w:szCs w:val="21"/>
        </w:rPr>
      </w:pPr>
      <w:r>
        <w:rPr>
          <w:rFonts w:hint="eastAsia" w:ascii="宋体" w:hAnsi="宋体" w:cs="Arial"/>
          <w:color w:val="auto"/>
          <w:szCs w:val="21"/>
        </w:rPr>
        <w:t>2.合同执行中涉及采购资金和采购内容修改或补充的，须签书面补充协议方可作为主合同不可分割的一部分。</w:t>
      </w:r>
    </w:p>
    <w:p w14:paraId="5FA06229">
      <w:pPr>
        <w:pageBreakBefore w:val="0"/>
        <w:kinsoku/>
        <w:overflowPunct/>
        <w:topLinePunct w:val="0"/>
        <w:bidi w:val="0"/>
        <w:snapToGrid w:val="0"/>
        <w:spacing w:line="560" w:lineRule="exact"/>
        <w:ind w:firstLine="420" w:firstLineChars="200"/>
        <w:rPr>
          <w:rFonts w:ascii="宋体" w:hAnsi="宋体"/>
          <w:color w:val="auto"/>
          <w:szCs w:val="21"/>
        </w:rPr>
      </w:pPr>
      <w:r>
        <w:rPr>
          <w:rFonts w:hint="eastAsia" w:ascii="宋体" w:hAnsi="宋体" w:cs="Arial"/>
          <w:color w:val="auto"/>
          <w:szCs w:val="21"/>
        </w:rPr>
        <w:t>3.本合同未尽事宜，遵照《中华人民共和国民法典》有关条文执行。</w:t>
      </w:r>
    </w:p>
    <w:tbl>
      <w:tblPr>
        <w:tblStyle w:val="4"/>
        <w:tblW w:w="50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7"/>
        <w:gridCol w:w="4960"/>
      </w:tblGrid>
      <w:tr w14:paraId="5FC4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3" w:hRule="atLeast"/>
        </w:trPr>
        <w:tc>
          <w:tcPr>
            <w:tcW w:w="2499" w:type="pct"/>
            <w:vAlign w:val="center"/>
          </w:tcPr>
          <w:p w14:paraId="26E29B5C">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甲方（公章）：</w:t>
            </w:r>
            <w:r>
              <w:rPr>
                <w:rFonts w:hint="eastAsia" w:ascii="宋体" w:hAnsi="宋体" w:cs="Arial"/>
                <w:color w:val="auto"/>
                <w:szCs w:val="21"/>
                <w:lang w:eastAsia="zh-CN"/>
              </w:rPr>
              <w:t>南宁市红十字会医院</w:t>
            </w:r>
            <w:r>
              <w:rPr>
                <w:rFonts w:hint="eastAsia" w:ascii="宋体" w:hAnsi="宋体" w:cs="Arial"/>
                <w:color w:val="auto"/>
                <w:szCs w:val="21"/>
              </w:rPr>
              <w:t xml:space="preserve">           </w:t>
            </w:r>
          </w:p>
          <w:p w14:paraId="5E6ED171">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p>
          <w:p w14:paraId="5C65BEA8">
            <w:pPr>
              <w:keepNext w:val="0"/>
              <w:keepLines w:val="0"/>
              <w:pageBreakBefore w:val="0"/>
              <w:suppressLineNumbers w:val="0"/>
              <w:kinsoku/>
              <w:overflowPunct/>
              <w:topLinePunct w:val="0"/>
              <w:bidi w:val="0"/>
              <w:snapToGrid w:val="0"/>
              <w:spacing w:before="0" w:beforeAutospacing="0" w:after="0" w:afterAutospacing="0" w:line="560" w:lineRule="exact"/>
              <w:ind w:left="0" w:right="0" w:firstLine="945" w:firstLineChars="450"/>
              <w:jc w:val="right"/>
              <w:rPr>
                <w:rFonts w:hint="default" w:ascii="宋体" w:hAnsi="宋体" w:cs="Arial"/>
                <w:color w:val="auto"/>
                <w:szCs w:val="21"/>
              </w:rPr>
            </w:pPr>
          </w:p>
          <w:p w14:paraId="46500E5E">
            <w:pPr>
              <w:keepNext w:val="0"/>
              <w:keepLines w:val="0"/>
              <w:pageBreakBefore w:val="0"/>
              <w:suppressLineNumbers w:val="0"/>
              <w:kinsoku/>
              <w:overflowPunct/>
              <w:topLinePunct w:val="0"/>
              <w:bidi w:val="0"/>
              <w:snapToGrid w:val="0"/>
              <w:spacing w:before="0" w:beforeAutospacing="0" w:after="0" w:afterAutospacing="0" w:line="560" w:lineRule="exact"/>
              <w:ind w:left="0" w:right="0" w:firstLine="945" w:firstLineChars="450"/>
              <w:jc w:val="right"/>
              <w:rPr>
                <w:rFonts w:hint="default" w:ascii="宋体" w:hAnsi="宋体" w:cs="Arial"/>
                <w:color w:val="auto"/>
                <w:szCs w:val="21"/>
              </w:rPr>
            </w:pPr>
          </w:p>
          <w:p w14:paraId="0844161A">
            <w:pPr>
              <w:keepNext w:val="0"/>
              <w:keepLines w:val="0"/>
              <w:pageBreakBefore w:val="0"/>
              <w:suppressLineNumbers w:val="0"/>
              <w:kinsoku/>
              <w:overflowPunct/>
              <w:topLinePunct w:val="0"/>
              <w:bidi w:val="0"/>
              <w:snapToGrid w:val="0"/>
              <w:spacing w:before="0" w:beforeAutospacing="0" w:after="0" w:afterAutospacing="0" w:line="560" w:lineRule="exact"/>
              <w:ind w:left="0" w:right="0" w:firstLine="945" w:firstLineChars="450"/>
              <w:jc w:val="right"/>
              <w:rPr>
                <w:rFonts w:hint="default" w:ascii="宋体" w:hAnsi="宋体" w:cs="Arial"/>
                <w:color w:val="auto"/>
                <w:szCs w:val="21"/>
              </w:rPr>
            </w:pPr>
          </w:p>
          <w:p w14:paraId="118EF804">
            <w:pPr>
              <w:keepNext w:val="0"/>
              <w:keepLines w:val="0"/>
              <w:pageBreakBefore w:val="0"/>
              <w:suppressLineNumbers w:val="0"/>
              <w:kinsoku/>
              <w:overflowPunct/>
              <w:topLinePunct w:val="0"/>
              <w:bidi w:val="0"/>
              <w:snapToGrid w:val="0"/>
              <w:spacing w:before="0" w:beforeAutospacing="0" w:after="0" w:afterAutospacing="0" w:line="560" w:lineRule="exact"/>
              <w:ind w:left="0" w:right="0" w:firstLine="0" w:firstLineChars="0"/>
              <w:jc w:val="both"/>
              <w:rPr>
                <w:rFonts w:hint="default" w:ascii="宋体" w:hAnsi="宋体" w:cs="Arial"/>
                <w:color w:val="auto"/>
                <w:szCs w:val="21"/>
              </w:rPr>
            </w:pPr>
          </w:p>
          <w:p w14:paraId="34CD5D23">
            <w:pPr>
              <w:keepNext w:val="0"/>
              <w:keepLines w:val="0"/>
              <w:pageBreakBefore w:val="0"/>
              <w:suppressLineNumbers w:val="0"/>
              <w:kinsoku/>
              <w:overflowPunct/>
              <w:topLinePunct w:val="0"/>
              <w:bidi w:val="0"/>
              <w:snapToGrid w:val="0"/>
              <w:spacing w:before="0" w:beforeAutospacing="0" w:after="0" w:afterAutospacing="0" w:line="560" w:lineRule="exact"/>
              <w:ind w:left="0" w:right="0" w:firstLine="945" w:firstLineChars="450"/>
              <w:jc w:val="right"/>
              <w:rPr>
                <w:rFonts w:hint="default" w:ascii="宋体" w:hAnsi="宋体" w:cs="Arial"/>
                <w:color w:val="auto"/>
                <w:szCs w:val="21"/>
              </w:rPr>
            </w:pPr>
            <w:r>
              <w:rPr>
                <w:rFonts w:hint="eastAsia" w:ascii="宋体" w:hAnsi="宋体" w:cs="Arial"/>
                <w:color w:val="auto"/>
                <w:szCs w:val="21"/>
              </w:rPr>
              <w:t>年   月   日</w:t>
            </w:r>
          </w:p>
        </w:tc>
        <w:tc>
          <w:tcPr>
            <w:tcW w:w="2500" w:type="pct"/>
            <w:vAlign w:val="center"/>
          </w:tcPr>
          <w:p w14:paraId="457ADD95">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乙方（公章）：</w:t>
            </w:r>
          </w:p>
          <w:p w14:paraId="15937D1D">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p>
          <w:p w14:paraId="56338F29">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right"/>
              <w:rPr>
                <w:rFonts w:hint="default" w:ascii="宋体" w:hAnsi="宋体" w:cs="Arial"/>
                <w:color w:val="auto"/>
                <w:szCs w:val="21"/>
              </w:rPr>
            </w:pPr>
            <w:r>
              <w:rPr>
                <w:rFonts w:hint="eastAsia" w:ascii="宋体" w:hAnsi="宋体" w:cs="Arial"/>
                <w:color w:val="auto"/>
                <w:szCs w:val="21"/>
              </w:rPr>
              <w:t xml:space="preserve"> </w:t>
            </w:r>
          </w:p>
          <w:p w14:paraId="1307F8A1">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right"/>
              <w:rPr>
                <w:rFonts w:hint="default" w:ascii="宋体" w:hAnsi="宋体" w:cs="Arial"/>
                <w:color w:val="auto"/>
                <w:szCs w:val="21"/>
              </w:rPr>
            </w:pPr>
          </w:p>
          <w:p w14:paraId="33D9FF12">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right"/>
              <w:rPr>
                <w:rFonts w:hint="default" w:ascii="宋体" w:hAnsi="宋体" w:cs="Arial"/>
                <w:color w:val="auto"/>
                <w:szCs w:val="21"/>
              </w:rPr>
            </w:pPr>
          </w:p>
          <w:p w14:paraId="2790A6EE">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both"/>
              <w:rPr>
                <w:rFonts w:hint="default" w:ascii="宋体" w:hAnsi="宋体" w:cs="Arial"/>
                <w:color w:val="auto"/>
                <w:szCs w:val="21"/>
              </w:rPr>
            </w:pPr>
          </w:p>
          <w:p w14:paraId="7360B321">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right"/>
              <w:rPr>
                <w:rFonts w:hint="default" w:ascii="宋体" w:hAnsi="宋体" w:cs="Arial"/>
                <w:color w:val="auto"/>
                <w:szCs w:val="21"/>
              </w:rPr>
            </w:pPr>
            <w:r>
              <w:rPr>
                <w:rFonts w:hint="eastAsia" w:ascii="宋体" w:hAnsi="宋体" w:cs="Arial"/>
                <w:color w:val="auto"/>
                <w:szCs w:val="21"/>
              </w:rPr>
              <w:t>年   月   日</w:t>
            </w:r>
          </w:p>
        </w:tc>
      </w:tr>
      <w:tr w14:paraId="064B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1E2371F8">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eastAsia" w:ascii="宋体" w:hAnsi="宋体" w:eastAsia="宋体" w:cs="Arial"/>
                <w:color w:val="auto"/>
                <w:szCs w:val="21"/>
                <w:lang w:eastAsia="zh-CN"/>
              </w:rPr>
            </w:pPr>
            <w:r>
              <w:rPr>
                <w:rFonts w:hint="eastAsia" w:ascii="宋体" w:hAnsi="宋体" w:cs="Arial"/>
                <w:color w:val="auto"/>
                <w:szCs w:val="21"/>
              </w:rPr>
              <w:t>单位地址：</w:t>
            </w:r>
            <w:r>
              <w:rPr>
                <w:rFonts w:hint="eastAsia" w:ascii="宋体" w:hAnsi="宋体" w:cs="Arial"/>
                <w:color w:val="auto"/>
                <w:szCs w:val="21"/>
                <w:lang w:val="en-US" w:eastAsia="zh-CN"/>
              </w:rPr>
              <w:t xml:space="preserve"> </w:t>
            </w:r>
          </w:p>
        </w:tc>
        <w:tc>
          <w:tcPr>
            <w:tcW w:w="2500" w:type="pct"/>
            <w:vAlign w:val="center"/>
          </w:tcPr>
          <w:p w14:paraId="50D7EA7E">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单位地址：</w:t>
            </w:r>
            <w:r>
              <w:rPr>
                <w:rFonts w:hint="default" w:ascii="宋体" w:hAnsi="宋体" w:cs="Arial"/>
                <w:color w:val="auto"/>
                <w:szCs w:val="21"/>
              </w:rPr>
              <w:t xml:space="preserve"> </w:t>
            </w:r>
          </w:p>
        </w:tc>
      </w:tr>
      <w:tr w14:paraId="1625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2631199E">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法定代表人：</w:t>
            </w:r>
          </w:p>
          <w:p w14:paraId="44B09040">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p>
          <w:p w14:paraId="449AB686">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或委托代理人：</w:t>
            </w:r>
          </w:p>
        </w:tc>
        <w:tc>
          <w:tcPr>
            <w:tcW w:w="2500" w:type="pct"/>
            <w:vAlign w:val="center"/>
          </w:tcPr>
          <w:p w14:paraId="7E591342">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法定代表人：</w:t>
            </w:r>
          </w:p>
          <w:p w14:paraId="3A44D059">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p>
          <w:p w14:paraId="7CF9CC75">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color w:val="auto"/>
                <w:szCs w:val="21"/>
              </w:rPr>
            </w:pPr>
            <w:r>
              <w:rPr>
                <w:rFonts w:hint="eastAsia" w:ascii="宋体" w:hAnsi="宋体" w:cs="Arial"/>
                <w:color w:val="auto"/>
                <w:szCs w:val="21"/>
              </w:rPr>
              <w:t>或委托代理人：</w:t>
            </w:r>
          </w:p>
        </w:tc>
      </w:tr>
      <w:tr w14:paraId="7BA2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3ABCC1A4">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电话：</w:t>
            </w:r>
          </w:p>
        </w:tc>
        <w:tc>
          <w:tcPr>
            <w:tcW w:w="2500" w:type="pct"/>
            <w:vAlign w:val="center"/>
          </w:tcPr>
          <w:p w14:paraId="765D7D74">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电话：</w:t>
            </w:r>
          </w:p>
        </w:tc>
      </w:tr>
      <w:tr w14:paraId="63DB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2BB6AAE1">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电子邮箱：</w:t>
            </w:r>
          </w:p>
        </w:tc>
        <w:tc>
          <w:tcPr>
            <w:tcW w:w="2500" w:type="pct"/>
            <w:vAlign w:val="center"/>
          </w:tcPr>
          <w:p w14:paraId="19C6348F">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电子邮箱：</w:t>
            </w:r>
          </w:p>
        </w:tc>
      </w:tr>
      <w:tr w14:paraId="5B42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67CD3157">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eastAsia" w:ascii="宋体" w:hAnsi="宋体" w:eastAsia="宋体" w:cs="Arial"/>
                <w:szCs w:val="21"/>
                <w:lang w:eastAsia="zh-CN"/>
              </w:rPr>
            </w:pPr>
            <w:r>
              <w:rPr>
                <w:rFonts w:hint="eastAsia" w:ascii="宋体" w:hAnsi="宋体" w:cs="Arial"/>
                <w:szCs w:val="21"/>
              </w:rPr>
              <w:t>开户银行：</w:t>
            </w:r>
            <w:r>
              <w:rPr>
                <w:rFonts w:hint="eastAsia" w:ascii="宋体" w:hAnsi="宋体" w:cs="Arial"/>
                <w:szCs w:val="21"/>
                <w:lang w:val="en-US" w:eastAsia="zh-CN"/>
              </w:rPr>
              <w:t xml:space="preserve"> </w:t>
            </w:r>
          </w:p>
        </w:tc>
        <w:tc>
          <w:tcPr>
            <w:tcW w:w="2500" w:type="pct"/>
            <w:vAlign w:val="center"/>
          </w:tcPr>
          <w:p w14:paraId="45EAC98C">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开户银行：</w:t>
            </w:r>
            <w:r>
              <w:rPr>
                <w:rFonts w:hint="default" w:ascii="宋体" w:hAnsi="宋体" w:cs="Arial"/>
                <w:szCs w:val="21"/>
              </w:rPr>
              <w:t xml:space="preserve"> </w:t>
            </w:r>
          </w:p>
        </w:tc>
      </w:tr>
      <w:tr w14:paraId="45A6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2499" w:type="pct"/>
            <w:vAlign w:val="center"/>
          </w:tcPr>
          <w:p w14:paraId="2C8FD1C1">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eastAsia" w:ascii="宋体" w:hAnsi="宋体" w:eastAsia="宋体" w:cs="Arial"/>
                <w:szCs w:val="21"/>
                <w:lang w:eastAsia="zh-CN"/>
              </w:rPr>
            </w:pPr>
            <w:r>
              <w:rPr>
                <w:rFonts w:hint="eastAsia" w:ascii="宋体" w:hAnsi="宋体" w:cs="Arial"/>
                <w:szCs w:val="21"/>
              </w:rPr>
              <w:t>账号：</w:t>
            </w:r>
            <w:r>
              <w:rPr>
                <w:rFonts w:hint="eastAsia" w:ascii="宋体" w:hAnsi="宋体" w:cs="Arial"/>
                <w:szCs w:val="21"/>
                <w:lang w:val="en-US" w:eastAsia="zh-CN"/>
              </w:rPr>
              <w:t xml:space="preserve"> </w:t>
            </w:r>
          </w:p>
        </w:tc>
        <w:tc>
          <w:tcPr>
            <w:tcW w:w="2500" w:type="pct"/>
            <w:vAlign w:val="center"/>
          </w:tcPr>
          <w:p w14:paraId="246EB1C1">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账号：</w:t>
            </w:r>
          </w:p>
        </w:tc>
      </w:tr>
      <w:tr w14:paraId="3727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2499" w:type="pct"/>
            <w:vAlign w:val="center"/>
          </w:tcPr>
          <w:p w14:paraId="0E829434">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eastAsia" w:ascii="宋体" w:hAnsi="宋体" w:eastAsia="宋体" w:cs="Arial"/>
                <w:szCs w:val="21"/>
                <w:lang w:eastAsia="zh-CN"/>
              </w:rPr>
            </w:pPr>
            <w:r>
              <w:rPr>
                <w:rFonts w:hint="eastAsia" w:ascii="宋体" w:hAnsi="宋体" w:cs="Arial"/>
                <w:szCs w:val="21"/>
              </w:rPr>
              <w:t>纳税人识别号或统一社会信用代码：</w:t>
            </w:r>
            <w:r>
              <w:rPr>
                <w:rFonts w:hint="eastAsia" w:ascii="宋体" w:hAnsi="宋体" w:cs="Arial"/>
                <w:szCs w:val="21"/>
                <w:lang w:val="en-US" w:eastAsia="zh-CN"/>
              </w:rPr>
              <w:t xml:space="preserve"> </w:t>
            </w:r>
          </w:p>
        </w:tc>
        <w:tc>
          <w:tcPr>
            <w:tcW w:w="2500" w:type="pct"/>
            <w:vAlign w:val="center"/>
          </w:tcPr>
          <w:p w14:paraId="427C571F">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纳税人识别号或统一社会信用代码：</w:t>
            </w:r>
          </w:p>
        </w:tc>
      </w:tr>
      <w:tr w14:paraId="5D43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2499" w:type="pct"/>
            <w:vAlign w:val="center"/>
          </w:tcPr>
          <w:p w14:paraId="72B6A264">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邮政编码：</w:t>
            </w:r>
          </w:p>
        </w:tc>
        <w:tc>
          <w:tcPr>
            <w:tcW w:w="2500" w:type="pct"/>
            <w:vAlign w:val="center"/>
          </w:tcPr>
          <w:p w14:paraId="6380BF9A">
            <w:pPr>
              <w:keepNext w:val="0"/>
              <w:keepLines w:val="0"/>
              <w:pageBreakBefore w:val="0"/>
              <w:suppressLineNumbers w:val="0"/>
              <w:kinsoku/>
              <w:overflowPunct/>
              <w:topLinePunct w:val="0"/>
              <w:bidi w:val="0"/>
              <w:snapToGrid w:val="0"/>
              <w:spacing w:before="0" w:beforeAutospacing="0" w:after="0" w:afterAutospacing="0" w:line="560" w:lineRule="exact"/>
              <w:ind w:left="0" w:right="0"/>
              <w:rPr>
                <w:rFonts w:hint="default" w:ascii="宋体" w:hAnsi="宋体" w:cs="Arial"/>
                <w:szCs w:val="21"/>
              </w:rPr>
            </w:pPr>
            <w:r>
              <w:rPr>
                <w:rFonts w:hint="eastAsia" w:ascii="宋体" w:hAnsi="宋体" w:cs="Arial"/>
                <w:szCs w:val="21"/>
              </w:rPr>
              <w:t>邮政编码：</w:t>
            </w:r>
          </w:p>
        </w:tc>
      </w:tr>
    </w:tbl>
    <w:p w14:paraId="2FC07060"/>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58563E"/>
    <w:rsid w:val="0D585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pPr>
  </w:style>
  <w:style w:type="paragraph" w:styleId="3">
    <w:name w:val="Plain Text"/>
    <w:basedOn w:val="1"/>
    <w:next w:val="2"/>
    <w:unhideWhenUsed/>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2026-10-22T09:12:00Z</dcterms:created>
  <dc:creator>中秋</dc:creator>
  <cp:lastModifiedBy>中秋</cp:lastModifiedBy>
  <dcterms:modified xsi:type="dcterms:W3CDTF">2026-10-22T09:14:56Z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363C4FFEC3984B48AE6575C35501E79A_11</vt:lpwstr>
  </property>
  <property fmtid="{D5CDD505-2E9C-101B-9397-08002B2CF9AE}" pid="4" name="KSOTemplateDocerSaveRecord">
    <vt:lpwstr>eyJoZGlkIjoiM2RhMWU4NDM1Y2E1MTQ4ZmJhZjI2ODc3ODIyODVlNGIiLCJ1c2VySWQiOiI3Mzg4MTAwNDUifQ==</vt:lpwstr>
  </property>
</Properties>
</file>